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33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0"/>
        <w:gridCol w:w="8190"/>
        <w:gridCol w:w="90"/>
      </w:tblGrid>
      <w:tr w:rsidR="000C786D" w:rsidRPr="00FA7489" w14:paraId="0F89CAB6" w14:textId="77777777" w:rsidTr="00D5479B">
        <w:trPr>
          <w:trHeight w:val="432"/>
        </w:trPr>
        <w:tc>
          <w:tcPr>
            <w:tcW w:w="12330" w:type="dxa"/>
            <w:gridSpan w:val="3"/>
            <w:shd w:val="clear" w:color="auto" w:fill="48484A" w:themeFill="text1"/>
          </w:tcPr>
          <w:p w14:paraId="2D1EBEC8" w14:textId="77777777" w:rsidR="000C786D" w:rsidRPr="00FA7489" w:rsidRDefault="000C786D" w:rsidP="00D5479B">
            <w:pPr>
              <w:rPr>
                <w:rFonts w:cs="Arial"/>
              </w:rPr>
            </w:pPr>
            <w:bookmarkStart w:id="1" w:name="_Hlk480209385"/>
            <w:bookmarkStart w:id="2" w:name="_Toc364696477"/>
            <w:bookmarkEnd w:id="1"/>
          </w:p>
        </w:tc>
      </w:tr>
      <w:tr w:rsidR="000C786D" w:rsidRPr="00FA7489" w14:paraId="5AD508C5" w14:textId="77777777" w:rsidTr="00D5479B">
        <w:trPr>
          <w:gridAfter w:val="1"/>
          <w:wAfter w:w="90" w:type="dxa"/>
          <w:trHeight w:hRule="exact" w:val="4896"/>
        </w:trPr>
        <w:tc>
          <w:tcPr>
            <w:tcW w:w="4050" w:type="dxa"/>
          </w:tcPr>
          <w:p w14:paraId="3B9AA309" w14:textId="77777777" w:rsidR="000C786D" w:rsidRDefault="000C786D" w:rsidP="00D5479B">
            <w:pPr>
              <w:ind w:left="-115"/>
            </w:pPr>
          </w:p>
          <w:p w14:paraId="18FA361F" w14:textId="77777777" w:rsidR="000900B5" w:rsidRPr="000900B5" w:rsidRDefault="000900B5" w:rsidP="000900B5"/>
          <w:p w14:paraId="23938570" w14:textId="77777777" w:rsidR="000900B5" w:rsidRPr="000900B5" w:rsidRDefault="000900B5" w:rsidP="000900B5"/>
          <w:p w14:paraId="6B77306C" w14:textId="77777777" w:rsidR="000900B5" w:rsidRPr="000900B5" w:rsidRDefault="000900B5" w:rsidP="000900B5"/>
          <w:p w14:paraId="77C4E84B" w14:textId="3685D685" w:rsidR="000900B5" w:rsidRPr="000900B5" w:rsidRDefault="000900B5" w:rsidP="000900B5">
            <w:r>
              <w:rPr>
                <w:noProof/>
              </w:rPr>
              <w:drawing>
                <wp:anchor distT="0" distB="0" distL="114300" distR="114300" simplePos="0" relativeHeight="251658242" behindDoc="0" locked="0" layoutInCell="1" allowOverlap="1" wp14:anchorId="6AE95E95" wp14:editId="5D6B08DC">
                  <wp:simplePos x="0" y="0"/>
                  <wp:positionH relativeFrom="column">
                    <wp:posOffset>352563</wp:posOffset>
                  </wp:positionH>
                  <wp:positionV relativeFrom="page">
                    <wp:posOffset>781465</wp:posOffset>
                  </wp:positionV>
                  <wp:extent cx="1834515" cy="1836420"/>
                  <wp:effectExtent l="0" t="0" r="0" b="0"/>
                  <wp:wrapTopAndBottom/>
                  <wp:docPr id="682481702" name="Picture 4" descr="A blue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81702" name="Picture 4" descr="A blue logo with black background&#10;&#10;Description automatically generated"/>
                          <pic:cNvPicPr/>
                        </pic:nvPicPr>
                        <pic:blipFill>
                          <a:blip r:embed="rId12"/>
                          <a:stretch>
                            <a:fillRect/>
                          </a:stretch>
                        </pic:blipFill>
                        <pic:spPr>
                          <a:xfrm>
                            <a:off x="0" y="0"/>
                            <a:ext cx="1834515" cy="1836420"/>
                          </a:xfrm>
                          <a:prstGeom prst="rect">
                            <a:avLst/>
                          </a:prstGeom>
                        </pic:spPr>
                      </pic:pic>
                    </a:graphicData>
                  </a:graphic>
                  <wp14:sizeRelH relativeFrom="margin">
                    <wp14:pctWidth>0</wp14:pctWidth>
                  </wp14:sizeRelH>
                  <wp14:sizeRelV relativeFrom="margin">
                    <wp14:pctHeight>0</wp14:pctHeight>
                  </wp14:sizeRelV>
                </wp:anchor>
              </w:drawing>
            </w:r>
          </w:p>
          <w:p w14:paraId="0DF8F1CD" w14:textId="3E55F355" w:rsidR="000900B5" w:rsidRPr="000900B5" w:rsidRDefault="000900B5" w:rsidP="000900B5"/>
          <w:p w14:paraId="7B9A86B3" w14:textId="77777777" w:rsidR="000900B5" w:rsidRPr="000900B5" w:rsidRDefault="000900B5" w:rsidP="000900B5"/>
          <w:p w14:paraId="7A9F82F1" w14:textId="77777777" w:rsidR="000900B5" w:rsidRPr="000900B5" w:rsidRDefault="000900B5" w:rsidP="000900B5"/>
          <w:p w14:paraId="4E35DC7B" w14:textId="77777777" w:rsidR="000900B5" w:rsidRDefault="000900B5" w:rsidP="000900B5"/>
          <w:p w14:paraId="3432699B" w14:textId="661108A7" w:rsidR="000900B5" w:rsidRPr="000900B5" w:rsidRDefault="000900B5" w:rsidP="000900B5">
            <w:pPr>
              <w:jc w:val="center"/>
            </w:pPr>
          </w:p>
        </w:tc>
        <w:tc>
          <w:tcPr>
            <w:tcW w:w="8190" w:type="dxa"/>
          </w:tcPr>
          <w:p w14:paraId="0D0A2FB6" w14:textId="426ECFC9" w:rsidR="000C786D" w:rsidRPr="00FA7489" w:rsidRDefault="00C15BE2" w:rsidP="00D5479B">
            <w:pPr>
              <w:ind w:left="-115"/>
            </w:pPr>
            <w:r>
              <w:rPr>
                <w:rFonts w:ascii="Arial" w:eastAsia="HGPGothicE" w:hAnsi="Arial" w:cs="Arial"/>
                <w:caps/>
                <w:noProof/>
                <w:color w:val="775F55"/>
                <w:kern w:val="24"/>
                <w:sz w:val="56"/>
                <w:szCs w:val="56"/>
              </w:rPr>
              <w:drawing>
                <wp:inline distT="0" distB="0" distL="0" distR="0" wp14:anchorId="30263680" wp14:editId="4505963B">
                  <wp:extent cx="10108990" cy="5686305"/>
                  <wp:effectExtent l="0" t="0" r="0" b="0"/>
                  <wp:docPr id="2118490393" name="Picture 2118490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90393" name="Picture 2118490393"/>
                          <pic:cNvPicPr/>
                        </pic:nvPicPr>
                        <pic:blipFill rotWithShape="1">
                          <a:blip r:embed="rId13"/>
                          <a:srcRect l="46174" r="-46174"/>
                          <a:stretch/>
                        </pic:blipFill>
                        <pic:spPr bwMode="auto">
                          <a:xfrm>
                            <a:off x="0" y="0"/>
                            <a:ext cx="10158568" cy="5714193"/>
                          </a:xfrm>
                          <a:prstGeom prst="rect">
                            <a:avLst/>
                          </a:prstGeom>
                          <a:ln>
                            <a:noFill/>
                          </a:ln>
                          <a:extLst>
                            <a:ext uri="{53640926-AAD7-44D8-BBD7-CCE9431645EC}">
                              <a14:shadowObscured xmlns:a14="http://schemas.microsoft.com/office/drawing/2010/main"/>
                            </a:ext>
                          </a:extLst>
                        </pic:spPr>
                      </pic:pic>
                    </a:graphicData>
                  </a:graphic>
                </wp:inline>
              </w:drawing>
            </w:r>
          </w:p>
        </w:tc>
      </w:tr>
      <w:tr w:rsidR="000C786D" w:rsidRPr="00FA7489" w14:paraId="56C88FCB" w14:textId="77777777" w:rsidTr="00D5479B">
        <w:trPr>
          <w:trHeight w:hRule="exact" w:val="259"/>
        </w:trPr>
        <w:tc>
          <w:tcPr>
            <w:tcW w:w="12330" w:type="dxa"/>
            <w:gridSpan w:val="3"/>
            <w:shd w:val="clear" w:color="auto" w:fill="F68B1F" w:themeFill="background2"/>
          </w:tcPr>
          <w:p w14:paraId="39BE5B7D" w14:textId="77777777" w:rsidR="000C786D" w:rsidRPr="00FA7489" w:rsidRDefault="000C786D" w:rsidP="00D5479B">
            <w:pPr>
              <w:rPr>
                <w:rFonts w:cs="Arial"/>
              </w:rPr>
            </w:pPr>
          </w:p>
        </w:tc>
      </w:tr>
    </w:tbl>
    <w:p w14:paraId="6741403A" w14:textId="77777777" w:rsidR="000C786D" w:rsidRPr="008365F5" w:rsidRDefault="000C786D" w:rsidP="00D04B61">
      <w:pPr>
        <w:rPr>
          <w:rFonts w:cs="Arial"/>
        </w:rPr>
      </w:pPr>
    </w:p>
    <w:tbl>
      <w:tblPr>
        <w:tblStyle w:val="TableGrid"/>
        <w:tblW w:w="12240" w:type="dxa"/>
        <w:tblInd w:w="-1440" w:type="dxa"/>
        <w:tblBorders>
          <w:top w:val="none" w:sz="0" w:space="0" w:color="auto"/>
          <w:left w:val="none" w:sz="0" w:space="0" w:color="auto"/>
          <w:bottom w:val="none" w:sz="0" w:space="0" w:color="auto"/>
          <w:right w:val="none" w:sz="0" w:space="0" w:color="auto"/>
          <w:insideH w:val="none" w:sz="0" w:space="0" w:color="auto"/>
          <w:insideV w:val="single" w:sz="4" w:space="0" w:color="F68B1F" w:themeColor="background2"/>
        </w:tblBorders>
        <w:tblLayout w:type="fixed"/>
        <w:tblCellMar>
          <w:left w:w="115" w:type="dxa"/>
          <w:right w:w="115" w:type="dxa"/>
        </w:tblCellMar>
        <w:tblLook w:val="04A0" w:firstRow="1" w:lastRow="0" w:firstColumn="1" w:lastColumn="0" w:noHBand="0" w:noVBand="1"/>
      </w:tblPr>
      <w:tblGrid>
        <w:gridCol w:w="4050"/>
        <w:gridCol w:w="8190"/>
      </w:tblGrid>
      <w:tr w:rsidR="000C786D" w:rsidRPr="00FA7489" w14:paraId="4AB27B36" w14:textId="77777777" w:rsidTr="00D5479B">
        <w:trPr>
          <w:trHeight w:val="2016"/>
        </w:trPr>
        <w:sdt>
          <w:sdtPr>
            <w:rPr>
              <w:rFonts w:ascii="Arial" w:hAnsi="Arial"/>
            </w:rPr>
            <w:id w:val="465252568"/>
            <w:placeholder>
              <w:docPart w:val="3847972D0D3F440D9DEA3301FAD038C5"/>
            </w:placeholder>
            <w:docPartList>
              <w:docPartGallery w:val="Quick Parts"/>
            </w:docPartList>
          </w:sdtPr>
          <w:sdtEndPr>
            <w:rPr>
              <w:color w:val="F68B1F" w:themeColor="background2"/>
            </w:rPr>
          </w:sdtEndPr>
          <w:sdtContent>
            <w:tc>
              <w:tcPr>
                <w:tcW w:w="4050" w:type="dxa"/>
                <w:vAlign w:val="bottom"/>
              </w:tcPr>
              <w:p w14:paraId="4D49D6F9" w14:textId="7211C847" w:rsidR="000C786D" w:rsidRPr="00FA7489" w:rsidRDefault="00C138A9" w:rsidP="00D5479B">
                <w:pPr>
                  <w:jc w:val="right"/>
                  <w:rPr>
                    <w:rFonts w:ascii="Arial" w:hAnsi="Arial"/>
                  </w:rPr>
                </w:pPr>
                <w:r w:rsidRPr="00C138A9">
                  <w:rPr>
                    <w:rFonts w:ascii="Arial" w:hAnsi="Arial" w:cs="Arial"/>
                    <w:sz w:val="16"/>
                    <w:szCs w:val="16"/>
                  </w:rPr>
                  <w:t>811 SW 6th Avenue, Suite 1000</w:t>
                </w:r>
                <w:r w:rsidRPr="00C138A9">
                  <w:rPr>
                    <w:rFonts w:ascii="Arial" w:hAnsi="Arial" w:cs="Arial"/>
                    <w:sz w:val="16"/>
                    <w:szCs w:val="16"/>
                  </w:rPr>
                  <w:br/>
                  <w:t>Portland, OR 97204</w:t>
                </w:r>
                <w:r w:rsidRPr="00C138A9">
                  <w:rPr>
                    <w:rFonts w:ascii="Arial" w:hAnsi="Arial" w:cs="Arial"/>
                    <w:sz w:val="16"/>
                    <w:szCs w:val="16"/>
                  </w:rPr>
                  <w:br/>
                  <w:t>503.200.6600</w:t>
                </w:r>
                <w:r w:rsidRPr="00C138A9">
                  <w:rPr>
                    <w:rFonts w:ascii="Arial" w:hAnsi="Arial" w:cs="Arial"/>
                    <w:sz w:val="16"/>
                    <w:szCs w:val="16"/>
                  </w:rPr>
                  <w:br/>
                </w:r>
                <w:r w:rsidRPr="00C138A9">
                  <w:rPr>
                    <w:rFonts w:ascii="Arial" w:hAnsi="Arial" w:cs="Arial"/>
                    <w:b/>
                    <w:color w:val="F68B1F" w:themeColor="background2"/>
                    <w:sz w:val="16"/>
                    <w:szCs w:val="16"/>
                  </w:rPr>
                  <w:t>www.rsginc.com</w:t>
                </w:r>
              </w:p>
            </w:tc>
          </w:sdtContent>
        </w:sdt>
        <w:tc>
          <w:tcPr>
            <w:tcW w:w="8190" w:type="dxa"/>
            <w:vAlign w:val="bottom"/>
          </w:tcPr>
          <w:p w14:paraId="24C8E97F" w14:textId="77777777" w:rsidR="000C786D" w:rsidRPr="006608AE" w:rsidRDefault="000C786D" w:rsidP="00D5479B"/>
        </w:tc>
      </w:tr>
    </w:tbl>
    <w:p w14:paraId="3C2DAACC" w14:textId="77777777" w:rsidR="000C786D" w:rsidRPr="008365F5" w:rsidRDefault="000C786D" w:rsidP="00E30696"/>
    <w:p w14:paraId="3EFE2854" w14:textId="77777777" w:rsidR="001F630F" w:rsidRPr="008365F5" w:rsidRDefault="001F630F" w:rsidP="00E30696">
      <w:pPr>
        <w:sectPr w:rsidR="001F630F" w:rsidRPr="008365F5" w:rsidSect="00E22E40">
          <w:headerReference w:type="first" r:id="rId14"/>
          <w:type w:val="oddPage"/>
          <w:pgSz w:w="12240" w:h="15840" w:code="1"/>
          <w:pgMar w:top="6163" w:right="3600" w:bottom="1440" w:left="1440" w:header="1080" w:footer="144" w:gutter="0"/>
          <w:pgBorders w:offsetFrom="page">
            <w:top w:val="none" w:sz="0" w:space="6" w:color="000000"/>
            <w:left w:val="none" w:sz="0" w:space="6" w:color="000000"/>
            <w:bottom w:val="none" w:sz="0" w:space="14" w:color="000000"/>
            <w:right w:val="none" w:sz="0" w:space="0" w:color="000000"/>
          </w:pgBorders>
          <w:pgNumType w:fmt="lowerRoman" w:start="0"/>
          <w:cols w:space="720"/>
          <w:titlePg/>
          <w:docGrid w:linePitch="360"/>
        </w:sectPr>
      </w:pPr>
    </w:p>
    <w:p w14:paraId="317027FB" w14:textId="77777777" w:rsidR="00C7166A" w:rsidRDefault="00D6720F" w:rsidP="002465A5">
      <w:pPr>
        <w:pStyle w:val="BodyParagraph"/>
        <w:spacing w:before="360"/>
        <w:rPr>
          <w:noProof/>
        </w:rPr>
      </w:pPr>
      <w:r>
        <w:rPr>
          <w:noProof/>
        </w:rPr>
        <w:lastRenderedPageBreak/>
        <w:drawing>
          <wp:inline distT="0" distB="0" distL="0" distR="0" wp14:anchorId="49DAC2BF" wp14:editId="686DFCAA">
            <wp:extent cx="1955155" cy="548640"/>
            <wp:effectExtent l="0" t="0" r="7620" b="3810"/>
            <wp:docPr id="57888772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87720" name="Picture 1" descr="A black and white logo&#10;&#10;Description automatically generated"/>
                    <pic:cNvPicPr/>
                  </pic:nvPicPr>
                  <pic:blipFill>
                    <a:blip r:embed="rId15"/>
                    <a:stretch>
                      <a:fillRect/>
                    </a:stretch>
                  </pic:blipFill>
                  <pic:spPr>
                    <a:xfrm>
                      <a:off x="0" y="0"/>
                      <a:ext cx="1955155" cy="548640"/>
                    </a:xfrm>
                    <a:prstGeom prst="rect">
                      <a:avLst/>
                    </a:prstGeom>
                  </pic:spPr>
                </pic:pic>
              </a:graphicData>
            </a:graphic>
          </wp:inline>
        </w:drawing>
      </w:r>
      <w:r w:rsidR="00C15A5E" w:rsidRPr="008365F5">
        <w:rPr>
          <w:b/>
          <w:caps/>
        </w:rPr>
        <w:fldChar w:fldCharType="begin"/>
      </w:r>
      <w:r w:rsidR="00C15A5E" w:rsidRPr="008365F5">
        <w:instrText xml:space="preserve"> TOC \o "1-3" \h \z \t "Heading 9,1,Tasks,3,Items,3" </w:instrText>
      </w:r>
      <w:r w:rsidR="00C15A5E" w:rsidRPr="008365F5">
        <w:rPr>
          <w:b/>
          <w:caps/>
        </w:rPr>
        <w:fldChar w:fldCharType="separate"/>
      </w:r>
    </w:p>
    <w:p w14:paraId="36BA9775" w14:textId="50309802" w:rsidR="00C7166A" w:rsidRDefault="00C7166A">
      <w:pPr>
        <w:pStyle w:val="TOC1"/>
        <w:rPr>
          <w:rFonts w:eastAsiaTheme="minorEastAsia"/>
          <w:b w:val="0"/>
          <w:caps w:val="0"/>
          <w:noProof/>
          <w:color w:val="auto"/>
          <w:kern w:val="2"/>
          <w:sz w:val="24"/>
          <w:szCs w:val="24"/>
          <w14:ligatures w14:val="standardContextual"/>
        </w:rPr>
      </w:pPr>
      <w:hyperlink w:anchor="_Toc196224245" w:history="1">
        <w:r w:rsidRPr="0002581F">
          <w:rPr>
            <w:rStyle w:val="Hyperlink"/>
            <w:rFonts w:ascii="Arial" w:hAnsi="Arial"/>
            <w:noProof/>
          </w:rPr>
          <w:t>1.0</w:t>
        </w:r>
        <w:r w:rsidRPr="0002581F">
          <w:rPr>
            <w:rStyle w:val="Hyperlink"/>
            <w:noProof/>
          </w:rPr>
          <w:t xml:space="preserve"> VisionEval</w:t>
        </w:r>
        <w:r>
          <w:rPr>
            <w:noProof/>
            <w:webHidden/>
          </w:rPr>
          <w:tab/>
        </w:r>
        <w:r>
          <w:rPr>
            <w:noProof/>
            <w:webHidden/>
          </w:rPr>
          <w:fldChar w:fldCharType="begin"/>
        </w:r>
        <w:r>
          <w:rPr>
            <w:noProof/>
            <w:webHidden/>
          </w:rPr>
          <w:instrText xml:space="preserve"> PAGEREF _Toc196224245 \h </w:instrText>
        </w:r>
        <w:r>
          <w:rPr>
            <w:noProof/>
            <w:webHidden/>
          </w:rPr>
        </w:r>
        <w:r>
          <w:rPr>
            <w:noProof/>
            <w:webHidden/>
          </w:rPr>
          <w:fldChar w:fldCharType="separate"/>
        </w:r>
        <w:r>
          <w:rPr>
            <w:noProof/>
            <w:webHidden/>
          </w:rPr>
          <w:t>1</w:t>
        </w:r>
        <w:r>
          <w:rPr>
            <w:noProof/>
            <w:webHidden/>
          </w:rPr>
          <w:fldChar w:fldCharType="end"/>
        </w:r>
      </w:hyperlink>
    </w:p>
    <w:p w14:paraId="2F514416" w14:textId="627E7B81" w:rsidR="00C7166A" w:rsidRDefault="00C7166A">
      <w:pPr>
        <w:pStyle w:val="TOC1"/>
        <w:rPr>
          <w:rFonts w:eastAsiaTheme="minorEastAsia"/>
          <w:b w:val="0"/>
          <w:caps w:val="0"/>
          <w:noProof/>
          <w:color w:val="auto"/>
          <w:kern w:val="2"/>
          <w:sz w:val="24"/>
          <w:szCs w:val="24"/>
          <w14:ligatures w14:val="standardContextual"/>
        </w:rPr>
      </w:pPr>
      <w:hyperlink w:anchor="_Toc196224246" w:history="1">
        <w:r w:rsidRPr="0002581F">
          <w:rPr>
            <w:rStyle w:val="Hyperlink"/>
            <w:rFonts w:ascii="Arial" w:hAnsi="Arial"/>
            <w:noProof/>
          </w:rPr>
          <w:t>2.0</w:t>
        </w:r>
        <w:r w:rsidRPr="0002581F">
          <w:rPr>
            <w:rStyle w:val="Hyperlink"/>
            <w:noProof/>
          </w:rPr>
          <w:t xml:space="preserve"> VisionEval Steps to Implement</w:t>
        </w:r>
        <w:r>
          <w:rPr>
            <w:noProof/>
            <w:webHidden/>
          </w:rPr>
          <w:tab/>
        </w:r>
        <w:r>
          <w:rPr>
            <w:noProof/>
            <w:webHidden/>
          </w:rPr>
          <w:fldChar w:fldCharType="begin"/>
        </w:r>
        <w:r>
          <w:rPr>
            <w:noProof/>
            <w:webHidden/>
          </w:rPr>
          <w:instrText xml:space="preserve"> PAGEREF _Toc196224246 \h </w:instrText>
        </w:r>
        <w:r>
          <w:rPr>
            <w:noProof/>
            <w:webHidden/>
          </w:rPr>
        </w:r>
        <w:r>
          <w:rPr>
            <w:noProof/>
            <w:webHidden/>
          </w:rPr>
          <w:fldChar w:fldCharType="separate"/>
        </w:r>
        <w:r>
          <w:rPr>
            <w:noProof/>
            <w:webHidden/>
          </w:rPr>
          <w:t>2</w:t>
        </w:r>
        <w:r>
          <w:rPr>
            <w:noProof/>
            <w:webHidden/>
          </w:rPr>
          <w:fldChar w:fldCharType="end"/>
        </w:r>
      </w:hyperlink>
    </w:p>
    <w:p w14:paraId="5BADDF00" w14:textId="07793E82" w:rsidR="00C7166A" w:rsidRDefault="00C7166A">
      <w:pPr>
        <w:pStyle w:val="TOC1"/>
        <w:rPr>
          <w:rFonts w:eastAsiaTheme="minorEastAsia"/>
          <w:b w:val="0"/>
          <w:caps w:val="0"/>
          <w:noProof/>
          <w:color w:val="auto"/>
          <w:kern w:val="2"/>
          <w:sz w:val="24"/>
          <w:szCs w:val="24"/>
          <w14:ligatures w14:val="standardContextual"/>
        </w:rPr>
      </w:pPr>
      <w:hyperlink w:anchor="_Toc196224247" w:history="1">
        <w:r w:rsidRPr="0002581F">
          <w:rPr>
            <w:rStyle w:val="Hyperlink"/>
            <w:rFonts w:ascii="Arial" w:hAnsi="Arial"/>
            <w:noProof/>
          </w:rPr>
          <w:t>3.0</w:t>
        </w:r>
        <w:r w:rsidRPr="0002581F">
          <w:rPr>
            <w:rStyle w:val="Hyperlink"/>
            <w:noProof/>
          </w:rPr>
          <w:t xml:space="preserve"> Deliverables Summary</w:t>
        </w:r>
        <w:r>
          <w:rPr>
            <w:noProof/>
            <w:webHidden/>
          </w:rPr>
          <w:tab/>
        </w:r>
        <w:r>
          <w:rPr>
            <w:noProof/>
            <w:webHidden/>
          </w:rPr>
          <w:fldChar w:fldCharType="begin"/>
        </w:r>
        <w:r>
          <w:rPr>
            <w:noProof/>
            <w:webHidden/>
          </w:rPr>
          <w:instrText xml:space="preserve"> PAGEREF _Toc196224247 \h </w:instrText>
        </w:r>
        <w:r>
          <w:rPr>
            <w:noProof/>
            <w:webHidden/>
          </w:rPr>
        </w:r>
        <w:r>
          <w:rPr>
            <w:noProof/>
            <w:webHidden/>
          </w:rPr>
          <w:fldChar w:fldCharType="separate"/>
        </w:r>
        <w:r>
          <w:rPr>
            <w:noProof/>
            <w:webHidden/>
          </w:rPr>
          <w:t>10</w:t>
        </w:r>
        <w:r>
          <w:rPr>
            <w:noProof/>
            <w:webHidden/>
          </w:rPr>
          <w:fldChar w:fldCharType="end"/>
        </w:r>
      </w:hyperlink>
    </w:p>
    <w:p w14:paraId="3850E921" w14:textId="346415A6" w:rsidR="00C7166A" w:rsidRDefault="00C7166A">
      <w:pPr>
        <w:pStyle w:val="TOC1"/>
        <w:rPr>
          <w:rFonts w:eastAsiaTheme="minorEastAsia"/>
          <w:b w:val="0"/>
          <w:caps w:val="0"/>
          <w:noProof/>
          <w:color w:val="auto"/>
          <w:kern w:val="2"/>
          <w:sz w:val="24"/>
          <w:szCs w:val="24"/>
          <w14:ligatures w14:val="standardContextual"/>
        </w:rPr>
      </w:pPr>
      <w:hyperlink w:anchor="_Toc196224248" w:history="1">
        <w:r w:rsidRPr="0002581F">
          <w:rPr>
            <w:rStyle w:val="Hyperlink"/>
            <w:rFonts w:ascii="Arial" w:hAnsi="Arial"/>
            <w:noProof/>
          </w:rPr>
          <w:t>4.0</w:t>
        </w:r>
        <w:r w:rsidRPr="0002581F">
          <w:rPr>
            <w:rStyle w:val="Hyperlink"/>
            <w:noProof/>
          </w:rPr>
          <w:t xml:space="preserve"> Budget and Schedule for VisionEval Model</w:t>
        </w:r>
        <w:r>
          <w:rPr>
            <w:noProof/>
            <w:webHidden/>
          </w:rPr>
          <w:tab/>
        </w:r>
        <w:r>
          <w:rPr>
            <w:noProof/>
            <w:webHidden/>
          </w:rPr>
          <w:fldChar w:fldCharType="begin"/>
        </w:r>
        <w:r>
          <w:rPr>
            <w:noProof/>
            <w:webHidden/>
          </w:rPr>
          <w:instrText xml:space="preserve"> PAGEREF _Toc196224248 \h </w:instrText>
        </w:r>
        <w:r>
          <w:rPr>
            <w:noProof/>
            <w:webHidden/>
          </w:rPr>
        </w:r>
        <w:r>
          <w:rPr>
            <w:noProof/>
            <w:webHidden/>
          </w:rPr>
          <w:fldChar w:fldCharType="separate"/>
        </w:r>
        <w:r>
          <w:rPr>
            <w:noProof/>
            <w:webHidden/>
          </w:rPr>
          <w:t>10</w:t>
        </w:r>
        <w:r>
          <w:rPr>
            <w:noProof/>
            <w:webHidden/>
          </w:rPr>
          <w:fldChar w:fldCharType="end"/>
        </w:r>
      </w:hyperlink>
    </w:p>
    <w:p w14:paraId="130C6092" w14:textId="2D1B9222" w:rsidR="00C7166A" w:rsidRDefault="00C7166A">
      <w:pPr>
        <w:pStyle w:val="TOC3"/>
        <w:rPr>
          <w:rFonts w:eastAsiaTheme="minorEastAsia"/>
          <w:caps w:val="0"/>
          <w:noProof/>
          <w:color w:val="auto"/>
          <w:kern w:val="2"/>
          <w:sz w:val="24"/>
          <w:szCs w:val="24"/>
          <w14:ligatures w14:val="standardContextual"/>
        </w:rPr>
      </w:pPr>
      <w:hyperlink w:anchor="_Toc196224249" w:history="1">
        <w:r w:rsidRPr="0002581F">
          <w:rPr>
            <w:rStyle w:val="Hyperlink"/>
            <w:noProof/>
          </w:rPr>
          <w:t>Budget Assumptions</w:t>
        </w:r>
        <w:r>
          <w:rPr>
            <w:noProof/>
            <w:webHidden/>
          </w:rPr>
          <w:tab/>
        </w:r>
        <w:r>
          <w:rPr>
            <w:noProof/>
            <w:webHidden/>
          </w:rPr>
          <w:fldChar w:fldCharType="begin"/>
        </w:r>
        <w:r>
          <w:rPr>
            <w:noProof/>
            <w:webHidden/>
          </w:rPr>
          <w:instrText xml:space="preserve"> PAGEREF _Toc196224249 \h </w:instrText>
        </w:r>
        <w:r>
          <w:rPr>
            <w:noProof/>
            <w:webHidden/>
          </w:rPr>
        </w:r>
        <w:r>
          <w:rPr>
            <w:noProof/>
            <w:webHidden/>
          </w:rPr>
          <w:fldChar w:fldCharType="separate"/>
        </w:r>
        <w:r>
          <w:rPr>
            <w:noProof/>
            <w:webHidden/>
          </w:rPr>
          <w:t>11</w:t>
        </w:r>
        <w:r>
          <w:rPr>
            <w:noProof/>
            <w:webHidden/>
          </w:rPr>
          <w:fldChar w:fldCharType="end"/>
        </w:r>
      </w:hyperlink>
    </w:p>
    <w:p w14:paraId="5CE182C0" w14:textId="61CC5BD2" w:rsidR="00C7166A" w:rsidRDefault="00C7166A">
      <w:pPr>
        <w:pStyle w:val="TOC3"/>
        <w:rPr>
          <w:rFonts w:eastAsiaTheme="minorEastAsia"/>
          <w:caps w:val="0"/>
          <w:noProof/>
          <w:color w:val="auto"/>
          <w:kern w:val="2"/>
          <w:sz w:val="24"/>
          <w:szCs w:val="24"/>
          <w14:ligatures w14:val="standardContextual"/>
        </w:rPr>
      </w:pPr>
      <w:hyperlink w:anchor="_Toc196224250" w:history="1">
        <w:r w:rsidRPr="0002581F">
          <w:rPr>
            <w:rStyle w:val="Hyperlink"/>
            <w:noProof/>
          </w:rPr>
          <w:t>Schedule Assumptions</w:t>
        </w:r>
        <w:r>
          <w:rPr>
            <w:noProof/>
            <w:webHidden/>
          </w:rPr>
          <w:tab/>
        </w:r>
        <w:r>
          <w:rPr>
            <w:noProof/>
            <w:webHidden/>
          </w:rPr>
          <w:fldChar w:fldCharType="begin"/>
        </w:r>
        <w:r>
          <w:rPr>
            <w:noProof/>
            <w:webHidden/>
          </w:rPr>
          <w:instrText xml:space="preserve"> PAGEREF _Toc196224250 \h </w:instrText>
        </w:r>
        <w:r>
          <w:rPr>
            <w:noProof/>
            <w:webHidden/>
          </w:rPr>
        </w:r>
        <w:r>
          <w:rPr>
            <w:noProof/>
            <w:webHidden/>
          </w:rPr>
          <w:fldChar w:fldCharType="separate"/>
        </w:r>
        <w:r>
          <w:rPr>
            <w:noProof/>
            <w:webHidden/>
          </w:rPr>
          <w:t>1</w:t>
        </w:r>
        <w:r>
          <w:rPr>
            <w:noProof/>
            <w:webHidden/>
          </w:rPr>
          <w:fldChar w:fldCharType="end"/>
        </w:r>
      </w:hyperlink>
    </w:p>
    <w:p w14:paraId="5261E50D" w14:textId="6C618551" w:rsidR="00C7166A" w:rsidRDefault="00C7166A">
      <w:pPr>
        <w:pStyle w:val="TOC1"/>
        <w:rPr>
          <w:rFonts w:eastAsiaTheme="minorEastAsia"/>
          <w:b w:val="0"/>
          <w:caps w:val="0"/>
          <w:noProof/>
          <w:color w:val="auto"/>
          <w:kern w:val="2"/>
          <w:sz w:val="24"/>
          <w:szCs w:val="24"/>
          <w14:ligatures w14:val="standardContextual"/>
        </w:rPr>
      </w:pPr>
      <w:hyperlink w:anchor="_Toc196224251" w:history="1">
        <w:r w:rsidRPr="0002581F">
          <w:rPr>
            <w:rStyle w:val="Hyperlink"/>
            <w:rFonts w:ascii="Arial" w:hAnsi="Arial"/>
            <w:noProof/>
          </w:rPr>
          <w:t>5.0</w:t>
        </w:r>
        <w:r w:rsidRPr="0002581F">
          <w:rPr>
            <w:rStyle w:val="Hyperlink"/>
            <w:noProof/>
          </w:rPr>
          <w:t xml:space="preserve"> Sample RSG Visioneval projects</w:t>
        </w:r>
        <w:r>
          <w:rPr>
            <w:noProof/>
            <w:webHidden/>
          </w:rPr>
          <w:tab/>
        </w:r>
        <w:r>
          <w:rPr>
            <w:noProof/>
            <w:webHidden/>
          </w:rPr>
          <w:fldChar w:fldCharType="begin"/>
        </w:r>
        <w:r>
          <w:rPr>
            <w:noProof/>
            <w:webHidden/>
          </w:rPr>
          <w:instrText xml:space="preserve"> PAGEREF _Toc196224251 \h </w:instrText>
        </w:r>
        <w:r>
          <w:rPr>
            <w:noProof/>
            <w:webHidden/>
          </w:rPr>
        </w:r>
        <w:r>
          <w:rPr>
            <w:noProof/>
            <w:webHidden/>
          </w:rPr>
          <w:fldChar w:fldCharType="separate"/>
        </w:r>
        <w:r>
          <w:rPr>
            <w:noProof/>
            <w:webHidden/>
          </w:rPr>
          <w:t>1</w:t>
        </w:r>
        <w:r>
          <w:rPr>
            <w:noProof/>
            <w:webHidden/>
          </w:rPr>
          <w:fldChar w:fldCharType="end"/>
        </w:r>
      </w:hyperlink>
    </w:p>
    <w:p w14:paraId="07FB35DF" w14:textId="6E6DD55E" w:rsidR="0019707A" w:rsidRPr="008365F5" w:rsidRDefault="00C15A5E" w:rsidP="00F769BA">
      <w:pPr>
        <w:spacing w:before="240" w:after="120"/>
        <w:rPr>
          <w:b/>
          <w:caps/>
          <w:sz w:val="20"/>
        </w:rPr>
      </w:pPr>
      <w:r w:rsidRPr="008365F5">
        <w:rPr>
          <w:sz w:val="20"/>
        </w:rPr>
        <w:fldChar w:fldCharType="end"/>
      </w:r>
      <w:r w:rsidR="0019707A" w:rsidRPr="008365F5">
        <w:rPr>
          <w:b/>
          <w:caps/>
          <w:sz w:val="20"/>
        </w:rPr>
        <w:t>List of Figures</w:t>
      </w:r>
    </w:p>
    <w:p w14:paraId="0731BEF2" w14:textId="395EEDFC" w:rsidR="00C7166A" w:rsidRDefault="00D5374E">
      <w:pPr>
        <w:pStyle w:val="TableofFigures"/>
        <w:tabs>
          <w:tab w:val="right" w:leader="dot" w:pos="6470"/>
        </w:tabs>
        <w:rPr>
          <w:rFonts w:eastAsiaTheme="minorEastAsia"/>
          <w:b w:val="0"/>
          <w:caps w:val="0"/>
          <w:noProof/>
          <w:color w:val="auto"/>
          <w:kern w:val="2"/>
          <w:sz w:val="24"/>
          <w:szCs w:val="24"/>
          <w14:ligatures w14:val="standardContextual"/>
        </w:rPr>
      </w:pPr>
      <w:r w:rsidRPr="008365F5">
        <w:rPr>
          <w:b w:val="0"/>
          <w:bCs/>
        </w:rPr>
        <w:fldChar w:fldCharType="begin"/>
      </w:r>
      <w:r w:rsidRPr="008365F5">
        <w:rPr>
          <w:bCs/>
        </w:rPr>
        <w:instrText xml:space="preserve"> TOC \h \z \c "Figure" </w:instrText>
      </w:r>
      <w:r w:rsidRPr="008365F5">
        <w:rPr>
          <w:b w:val="0"/>
          <w:bCs/>
        </w:rPr>
        <w:fldChar w:fldCharType="separate"/>
      </w:r>
      <w:hyperlink w:anchor="_Toc196224252" w:history="1">
        <w:r w:rsidR="00C7166A" w:rsidRPr="00E87C3D">
          <w:rPr>
            <w:rStyle w:val="Hyperlink"/>
            <w:noProof/>
          </w:rPr>
          <w:t>Figure 1: Role of the VisionEval strategic Model</w:t>
        </w:r>
        <w:r w:rsidR="00C7166A">
          <w:rPr>
            <w:noProof/>
            <w:webHidden/>
          </w:rPr>
          <w:tab/>
        </w:r>
        <w:r w:rsidR="00C7166A">
          <w:rPr>
            <w:noProof/>
            <w:webHidden/>
          </w:rPr>
          <w:fldChar w:fldCharType="begin"/>
        </w:r>
        <w:r w:rsidR="00C7166A">
          <w:rPr>
            <w:noProof/>
            <w:webHidden/>
          </w:rPr>
          <w:instrText xml:space="preserve"> PAGEREF _Toc196224252 \h </w:instrText>
        </w:r>
        <w:r w:rsidR="00C7166A">
          <w:rPr>
            <w:noProof/>
            <w:webHidden/>
          </w:rPr>
        </w:r>
        <w:r w:rsidR="00C7166A">
          <w:rPr>
            <w:noProof/>
            <w:webHidden/>
          </w:rPr>
          <w:fldChar w:fldCharType="separate"/>
        </w:r>
        <w:r w:rsidR="00C7166A">
          <w:rPr>
            <w:noProof/>
            <w:webHidden/>
          </w:rPr>
          <w:t>1</w:t>
        </w:r>
        <w:r w:rsidR="00C7166A">
          <w:rPr>
            <w:noProof/>
            <w:webHidden/>
          </w:rPr>
          <w:fldChar w:fldCharType="end"/>
        </w:r>
      </w:hyperlink>
    </w:p>
    <w:p w14:paraId="1A770F60" w14:textId="29C5B020" w:rsidR="00C7166A" w:rsidRDefault="00C7166A">
      <w:pPr>
        <w:pStyle w:val="TableofFigures"/>
        <w:tabs>
          <w:tab w:val="right" w:leader="dot" w:pos="6470"/>
        </w:tabs>
        <w:rPr>
          <w:rFonts w:eastAsiaTheme="minorEastAsia"/>
          <w:b w:val="0"/>
          <w:caps w:val="0"/>
          <w:noProof/>
          <w:color w:val="auto"/>
          <w:kern w:val="2"/>
          <w:sz w:val="24"/>
          <w:szCs w:val="24"/>
          <w14:ligatures w14:val="standardContextual"/>
        </w:rPr>
      </w:pPr>
      <w:hyperlink w:anchor="_Toc196224253" w:history="1">
        <w:r w:rsidRPr="00E87C3D">
          <w:rPr>
            <w:rStyle w:val="Hyperlink"/>
            <w:noProof/>
          </w:rPr>
          <w:t>Figure 2: Model Region</w:t>
        </w:r>
        <w:r>
          <w:rPr>
            <w:noProof/>
            <w:webHidden/>
          </w:rPr>
          <w:tab/>
        </w:r>
        <w:r>
          <w:rPr>
            <w:noProof/>
            <w:webHidden/>
          </w:rPr>
          <w:fldChar w:fldCharType="begin"/>
        </w:r>
        <w:r>
          <w:rPr>
            <w:noProof/>
            <w:webHidden/>
          </w:rPr>
          <w:instrText xml:space="preserve"> PAGEREF _Toc196224253 \h </w:instrText>
        </w:r>
        <w:r>
          <w:rPr>
            <w:noProof/>
            <w:webHidden/>
          </w:rPr>
        </w:r>
        <w:r>
          <w:rPr>
            <w:noProof/>
            <w:webHidden/>
          </w:rPr>
          <w:fldChar w:fldCharType="separate"/>
        </w:r>
        <w:r>
          <w:rPr>
            <w:noProof/>
            <w:webHidden/>
          </w:rPr>
          <w:t>3</w:t>
        </w:r>
        <w:r>
          <w:rPr>
            <w:noProof/>
            <w:webHidden/>
          </w:rPr>
          <w:fldChar w:fldCharType="end"/>
        </w:r>
      </w:hyperlink>
    </w:p>
    <w:p w14:paraId="649597F6" w14:textId="27C6A1CC" w:rsidR="00C7166A" w:rsidRDefault="00C7166A">
      <w:pPr>
        <w:pStyle w:val="TableofFigures"/>
        <w:tabs>
          <w:tab w:val="right" w:leader="dot" w:pos="6470"/>
        </w:tabs>
        <w:rPr>
          <w:rFonts w:eastAsiaTheme="minorEastAsia"/>
          <w:b w:val="0"/>
          <w:caps w:val="0"/>
          <w:noProof/>
          <w:color w:val="auto"/>
          <w:kern w:val="2"/>
          <w:sz w:val="24"/>
          <w:szCs w:val="24"/>
          <w14:ligatures w14:val="standardContextual"/>
        </w:rPr>
      </w:pPr>
      <w:hyperlink w:anchor="_Toc196224254" w:history="1">
        <w:r w:rsidRPr="00E87C3D">
          <w:rPr>
            <w:rStyle w:val="Hyperlink"/>
            <w:noProof/>
          </w:rPr>
          <w:t>Figure 4: Applications of Strategic Models</w:t>
        </w:r>
        <w:r>
          <w:rPr>
            <w:noProof/>
            <w:webHidden/>
          </w:rPr>
          <w:tab/>
        </w:r>
        <w:r>
          <w:rPr>
            <w:noProof/>
            <w:webHidden/>
          </w:rPr>
          <w:fldChar w:fldCharType="begin"/>
        </w:r>
        <w:r>
          <w:rPr>
            <w:noProof/>
            <w:webHidden/>
          </w:rPr>
          <w:instrText xml:space="preserve"> PAGEREF _Toc196224254 \h </w:instrText>
        </w:r>
        <w:r>
          <w:rPr>
            <w:noProof/>
            <w:webHidden/>
          </w:rPr>
        </w:r>
        <w:r>
          <w:rPr>
            <w:noProof/>
            <w:webHidden/>
          </w:rPr>
          <w:fldChar w:fldCharType="separate"/>
        </w:r>
        <w:r>
          <w:rPr>
            <w:noProof/>
            <w:webHidden/>
          </w:rPr>
          <w:t>1</w:t>
        </w:r>
        <w:r>
          <w:rPr>
            <w:noProof/>
            <w:webHidden/>
          </w:rPr>
          <w:fldChar w:fldCharType="end"/>
        </w:r>
      </w:hyperlink>
    </w:p>
    <w:p w14:paraId="4B4E5599" w14:textId="59F39A26" w:rsidR="00B72836" w:rsidRPr="008365F5" w:rsidRDefault="00D5374E" w:rsidP="00230D80">
      <w:r w:rsidRPr="008365F5">
        <w:rPr>
          <w:b/>
          <w:bCs/>
        </w:rPr>
        <w:fldChar w:fldCharType="end"/>
      </w:r>
    </w:p>
    <w:p w14:paraId="7245A813" w14:textId="77777777" w:rsidR="0056630F" w:rsidRDefault="0056630F">
      <w:pPr>
        <w:spacing w:after="200" w:line="276" w:lineRule="auto"/>
      </w:pPr>
    </w:p>
    <w:p w14:paraId="754DD710" w14:textId="77777777" w:rsidR="000C786D" w:rsidRPr="008365F5" w:rsidRDefault="000C786D">
      <w:pPr>
        <w:spacing w:after="200" w:line="276" w:lineRule="auto"/>
        <w:sectPr w:rsidR="000C786D" w:rsidRPr="008365F5" w:rsidSect="000C786D">
          <w:headerReference w:type="even" r:id="rId16"/>
          <w:headerReference w:type="default" r:id="rId17"/>
          <w:footerReference w:type="even" r:id="rId18"/>
          <w:footerReference w:type="default" r:id="rId19"/>
          <w:headerReference w:type="first" r:id="rId20"/>
          <w:footerReference w:type="first" r:id="rId21"/>
          <w:type w:val="oddPage"/>
          <w:pgSz w:w="12240" w:h="15840" w:code="1"/>
          <w:pgMar w:top="1454" w:right="2160" w:bottom="1440" w:left="3600" w:header="720" w:footer="720" w:gutter="0"/>
          <w:pgBorders w:offsetFrom="page">
            <w:top w:val="none" w:sz="0" w:space="6" w:color="000000"/>
            <w:left w:val="none" w:sz="0" w:space="6" w:color="000000"/>
            <w:bottom w:val="none" w:sz="0" w:space="14" w:color="000000"/>
            <w:right w:val="none" w:sz="0" w:space="0" w:color="000000"/>
          </w:pgBorders>
          <w:pgNumType w:fmt="lowerRoman" w:start="1"/>
          <w:cols w:space="720"/>
          <w:titlePg/>
          <w:docGrid w:linePitch="360"/>
        </w:sectPr>
      </w:pPr>
    </w:p>
    <w:p w14:paraId="0557190E" w14:textId="77777777" w:rsidR="00C138A9" w:rsidRPr="008365F5" w:rsidRDefault="00C138A9" w:rsidP="00AC2EF3">
      <w:pPr>
        <w:pStyle w:val="Heading1"/>
        <w:spacing w:before="0" w:after="120"/>
      </w:pPr>
      <w:bookmarkStart w:id="4" w:name="_Toc181004148"/>
      <w:bookmarkStart w:id="5" w:name="_Toc196224245"/>
      <w:bookmarkEnd w:id="2"/>
      <w:r>
        <w:lastRenderedPageBreak/>
        <w:t>VisionEval</w:t>
      </w:r>
      <w:bookmarkEnd w:id="4"/>
      <w:bookmarkEnd w:id="5"/>
    </w:p>
    <w:p w14:paraId="7968EA7A" w14:textId="18C97446" w:rsidR="00C138A9" w:rsidRDefault="00BA701D" w:rsidP="00C138A9">
      <w:pPr>
        <w:pStyle w:val="BodyParagraph"/>
      </w:pPr>
      <w:r>
        <w:t>This document describes the background</w:t>
      </w:r>
      <w:r w:rsidR="00FA7B3C">
        <w:t xml:space="preserve">, scope and budget for deploying a </w:t>
      </w:r>
      <w:r w:rsidR="00776D65">
        <w:t xml:space="preserve">Valley-wide </w:t>
      </w:r>
      <w:proofErr w:type="spellStart"/>
      <w:r w:rsidR="00FA7B3C">
        <w:t>VisionEval</w:t>
      </w:r>
      <w:proofErr w:type="spellEnd"/>
      <w:r w:rsidR="00FA7B3C">
        <w:t xml:space="preserve"> model platform for </w:t>
      </w:r>
      <w:r w:rsidR="00776D65">
        <w:t xml:space="preserve">use by </w:t>
      </w:r>
      <w:r w:rsidR="00FA7B3C">
        <w:t xml:space="preserve">the MPOs in the San Joaquin Valley (SJV). </w:t>
      </w:r>
      <w:proofErr w:type="spellStart"/>
      <w:r w:rsidR="00C138A9">
        <w:t>VisionEval</w:t>
      </w:r>
      <w:proofErr w:type="spellEnd"/>
      <w:r w:rsidR="00C138A9">
        <w:t xml:space="preserve"> is a strategic model used by transportation agencies to create efficiencies in their travel modeling work and to expand insights in policy analysis. Agencies are using it as a tool to rapidly assess a wide range of policy alternatives and better understand the implications of their policy options. This</w:t>
      </w:r>
      <w:r w:rsidR="00E102B7">
        <w:t xml:space="preserve"> approach quantitatively supports</w:t>
      </w:r>
      <w:r w:rsidR="00C138A9">
        <w:t xml:space="preserve"> a more creative and robust policy discussion at the outset of the planning process. </w:t>
      </w:r>
      <w:proofErr w:type="spellStart"/>
      <w:r w:rsidR="00C138A9">
        <w:t>VisionEval</w:t>
      </w:r>
      <w:proofErr w:type="spellEnd"/>
      <w:r w:rsidR="00C138A9">
        <w:t xml:space="preserve"> also serves to efficiently identify a refined set of policies that can be further analyzed in a network model</w:t>
      </w:r>
      <w:r w:rsidR="00856935">
        <w:t>.</w:t>
      </w:r>
      <w:r w:rsidR="00C138A9">
        <w:t xml:space="preserve"> </w:t>
      </w:r>
    </w:p>
    <w:p w14:paraId="48F83398" w14:textId="0DBF552D" w:rsidR="00C138A9" w:rsidRDefault="00C138A9" w:rsidP="00C138A9">
      <w:pPr>
        <w:pStyle w:val="BodyParagraph"/>
      </w:pPr>
      <w:r>
        <w:t xml:space="preserve">Relative to network models, </w:t>
      </w:r>
      <w:proofErr w:type="spellStart"/>
      <w:r>
        <w:t>VisionEval</w:t>
      </w:r>
      <w:proofErr w:type="spellEnd"/>
      <w:r>
        <w:t xml:space="preserve"> contains less engineering detail but is easier to develop and faster to run. </w:t>
      </w:r>
      <w:proofErr w:type="spellStart"/>
      <w:r>
        <w:t>VisionEval</w:t>
      </w:r>
      <w:proofErr w:type="spellEnd"/>
      <w:r>
        <w:t xml:space="preserve"> combines</w:t>
      </w:r>
      <w:r w:rsidRPr="001869F7">
        <w:t xml:space="preserve"> a disaggregate representation of the travel demand</w:t>
      </w:r>
      <w:r>
        <w:t xml:space="preserve"> (i.e., households)</w:t>
      </w:r>
      <w:r w:rsidRPr="001869F7">
        <w:t xml:space="preserve"> with an aggregate representation of the transportation supply</w:t>
      </w:r>
      <w:r>
        <w:t xml:space="preserve"> (lane miles by facility type</w:t>
      </w:r>
      <w:r w:rsidR="00E102B7">
        <w:t xml:space="preserve">, transit </w:t>
      </w:r>
      <w:r w:rsidR="00D1732A">
        <w:t>service miles</w:t>
      </w:r>
      <w:r>
        <w:t>)</w:t>
      </w:r>
      <w:r w:rsidRPr="001869F7">
        <w:t xml:space="preserve">. </w:t>
      </w:r>
      <w:r>
        <w:t xml:space="preserve">It is a complementary model to the </w:t>
      </w:r>
      <w:r w:rsidR="00856935">
        <w:t xml:space="preserve">travel demand model, </w:t>
      </w:r>
      <w:r>
        <w:t>not a replacement.</w:t>
      </w:r>
    </w:p>
    <w:p w14:paraId="579E4B69" w14:textId="3F7C4935" w:rsidR="00C138A9" w:rsidRDefault="00C138A9" w:rsidP="00C138A9">
      <w:pPr>
        <w:pStyle w:val="BodyParagraph"/>
      </w:pPr>
      <w:proofErr w:type="spellStart"/>
      <w:r>
        <w:t>VisionEval</w:t>
      </w:r>
      <w:proofErr w:type="spellEnd"/>
      <w:r w:rsidRPr="001869F7">
        <w:t xml:space="preserve"> use</w:t>
      </w:r>
      <w:r>
        <w:t>s</w:t>
      </w:r>
      <w:r w:rsidRPr="001869F7">
        <w:t xml:space="preserve"> a simplified </w:t>
      </w:r>
      <w:r>
        <w:t xml:space="preserve">modular </w:t>
      </w:r>
      <w:r w:rsidRPr="001869F7">
        <w:t xml:space="preserve">model structure </w:t>
      </w:r>
      <w:r>
        <w:t xml:space="preserve">that enables the tool to adapt and evolve in ways to benefit from other adjacent models such as the ITHIM – Integrated Transport and Health Impacts Model. </w:t>
      </w:r>
      <w:r w:rsidRPr="001869F7">
        <w:t xml:space="preserve">The disaggregate demand uses a household level synthetic population to attain socio-economic insights and </w:t>
      </w:r>
      <w:r w:rsidR="00AC2EF3">
        <w:t xml:space="preserve">support </w:t>
      </w:r>
      <w:r w:rsidRPr="001869F7">
        <w:t>travel choice</w:t>
      </w:r>
      <w:r w:rsidR="00AC2EF3">
        <w:t xml:space="preserve"> forecasting</w:t>
      </w:r>
      <w:r w:rsidRPr="001869F7">
        <w:t>.</w:t>
      </w:r>
      <w:r>
        <w:t xml:space="preserve"> Where agencies already have a synthetic population, such as with </w:t>
      </w:r>
      <w:r w:rsidR="00AC2EF3">
        <w:t>a</w:t>
      </w:r>
      <w:r>
        <w:t xml:space="preserve"> </w:t>
      </w:r>
      <w:proofErr w:type="spellStart"/>
      <w:r w:rsidR="00856935">
        <w:t>DaySim</w:t>
      </w:r>
      <w:proofErr w:type="spellEnd"/>
      <w:r w:rsidR="00856935">
        <w:t xml:space="preserve"> </w:t>
      </w:r>
      <w:r w:rsidR="00AC2EF3">
        <w:t xml:space="preserve">travel demand model supported </w:t>
      </w:r>
      <w:r w:rsidR="00A84CD2">
        <w:t xml:space="preserve">by </w:t>
      </w:r>
      <w:proofErr w:type="spellStart"/>
      <w:r w:rsidR="00A84CD2">
        <w:t>PopulationSim</w:t>
      </w:r>
      <w:proofErr w:type="spellEnd"/>
      <w:r w:rsidR="00856935">
        <w:t xml:space="preserve">, </w:t>
      </w:r>
      <w:proofErr w:type="spellStart"/>
      <w:r>
        <w:t>VisionEval</w:t>
      </w:r>
      <w:proofErr w:type="spellEnd"/>
      <w:r>
        <w:t xml:space="preserve"> can usually be configured to use </w:t>
      </w:r>
      <w:r w:rsidR="00AC2EF3">
        <w:t>those</w:t>
      </w:r>
      <w:r>
        <w:t xml:space="preserve"> tool</w:t>
      </w:r>
      <w:r w:rsidR="00AC2EF3">
        <w:t>’s data</w:t>
      </w:r>
      <w:r>
        <w:t xml:space="preserve">, thus reducing development time and increasing the consistency between </w:t>
      </w:r>
      <w:proofErr w:type="spellStart"/>
      <w:r>
        <w:t>VisionEval</w:t>
      </w:r>
      <w:proofErr w:type="spellEnd"/>
      <w:r>
        <w:t xml:space="preserve"> and the </w:t>
      </w:r>
      <w:r w:rsidR="00AC2EF3">
        <w:t xml:space="preserve">regional travel </w:t>
      </w:r>
      <w:r w:rsidR="00856935">
        <w:t>model</w:t>
      </w:r>
      <w:r>
        <w:t>.</w:t>
      </w:r>
      <w:r w:rsidR="00AC2EF3">
        <w:t xml:space="preserve"> </w:t>
      </w:r>
      <w:r>
        <w:fldChar w:fldCharType="begin"/>
      </w:r>
      <w:r>
        <w:instrText xml:space="preserve"> REF _Ref68522647 \h </w:instrText>
      </w:r>
      <w:r>
        <w:fldChar w:fldCharType="separate"/>
      </w:r>
      <w:r>
        <w:t xml:space="preserve">Figure </w:t>
      </w:r>
      <w:r>
        <w:rPr>
          <w:noProof/>
        </w:rPr>
        <w:t>1</w:t>
      </w:r>
      <w:r>
        <w:fldChar w:fldCharType="end"/>
      </w:r>
      <w:r>
        <w:t xml:space="preserve"> illustrates the relationship that </w:t>
      </w:r>
      <w:proofErr w:type="spellStart"/>
      <w:r>
        <w:t>VisionEval</w:t>
      </w:r>
      <w:proofErr w:type="spellEnd"/>
      <w:r>
        <w:t xml:space="preserve"> has relative to the more common transportation travel models. </w:t>
      </w:r>
    </w:p>
    <w:p w14:paraId="6EBFEC0F" w14:textId="776B8ED6" w:rsidR="00C138A9" w:rsidRDefault="00C138A9" w:rsidP="00C138A9">
      <w:pPr>
        <w:pStyle w:val="Caption"/>
      </w:pPr>
      <w:bookmarkStart w:id="6" w:name="_Ref68522647"/>
      <w:bookmarkStart w:id="7" w:name="_Toc181004152"/>
      <w:bookmarkStart w:id="8" w:name="_Toc196224252"/>
      <w:r>
        <w:t xml:space="preserve">Figure </w:t>
      </w:r>
      <w:r>
        <w:fldChar w:fldCharType="begin"/>
      </w:r>
      <w:r>
        <w:instrText>SEQ Figure \* ARABIC</w:instrText>
      </w:r>
      <w:r>
        <w:fldChar w:fldCharType="separate"/>
      </w:r>
      <w:r w:rsidR="00826CFA">
        <w:rPr>
          <w:noProof/>
        </w:rPr>
        <w:t>1</w:t>
      </w:r>
      <w:r>
        <w:fldChar w:fldCharType="end"/>
      </w:r>
      <w:bookmarkEnd w:id="6"/>
      <w:r>
        <w:t>: Role of the VisionEval strategic Model</w:t>
      </w:r>
      <w:bookmarkEnd w:id="7"/>
      <w:bookmarkEnd w:id="8"/>
    </w:p>
    <w:p w14:paraId="53CFF163" w14:textId="77777777" w:rsidR="00C138A9" w:rsidRDefault="00C138A9" w:rsidP="00C138A9">
      <w:pPr>
        <w:pStyle w:val="SourceNote"/>
      </w:pPr>
      <w:r>
        <w:rPr>
          <w:noProof/>
        </w:rPr>
        <w:drawing>
          <wp:inline distT="0" distB="0" distL="0" distR="0" wp14:anchorId="6875F53D" wp14:editId="2182DA01">
            <wp:extent cx="2902509" cy="2238375"/>
            <wp:effectExtent l="0" t="0" r="0" b="0"/>
            <wp:docPr id="12"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22">
                      <a:extLst>
                        <a:ext uri="{FF2B5EF4-FFF2-40B4-BE49-F238E27FC236}">
                          <a16:creationId xmlns:c="http://schemas.openxmlformats.org/drawingml/2006/chart"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5ABD2E7-0FCB-475D-ABFF-F719E1CAA560}"/>
                        </a:ext>
                      </a:extLst>
                    </a:blip>
                    <a:srcRect t="4153" b="13259"/>
                    <a:stretch/>
                  </pic:blipFill>
                  <pic:spPr bwMode="auto">
                    <a:xfrm>
                      <a:off x="0" y="0"/>
                      <a:ext cx="2925512" cy="2256115"/>
                    </a:xfrm>
                    <a:prstGeom prst="rect">
                      <a:avLst/>
                    </a:prstGeom>
                    <a:ln>
                      <a:noFill/>
                    </a:ln>
                    <a:extLst>
                      <a:ext uri="{53640926-AAD7-44D8-BBD7-CCE9431645EC}">
                        <a14:shadowObscured xmlns:a14="http://schemas.microsoft.com/office/drawing/2010/main"/>
                      </a:ext>
                    </a:extLst>
                  </pic:spPr>
                </pic:pic>
              </a:graphicData>
            </a:graphic>
          </wp:inline>
        </w:drawing>
      </w:r>
      <w:r>
        <w:br/>
        <w:t>Source: Oregon DOT adapted by RSG</w:t>
      </w:r>
    </w:p>
    <w:p w14:paraId="6B6C3934" w14:textId="77777777" w:rsidR="00C138A9" w:rsidRPr="00F81DE0" w:rsidRDefault="00C138A9" w:rsidP="00AC2EF3">
      <w:pPr>
        <w:pStyle w:val="Heading1"/>
        <w:spacing w:before="0" w:after="120"/>
        <w:ind w:left="0" w:firstLine="0"/>
      </w:pPr>
      <w:bookmarkStart w:id="9" w:name="_Toc181004149"/>
      <w:bookmarkStart w:id="10" w:name="_Toc196224246"/>
      <w:r w:rsidRPr="00F81DE0">
        <w:rPr>
          <w:rStyle w:val="Heading1Char"/>
          <w:b/>
          <w:bCs/>
          <w:caps/>
        </w:rPr>
        <w:lastRenderedPageBreak/>
        <w:t>VisionEval</w:t>
      </w:r>
      <w:r w:rsidRPr="00F81DE0">
        <w:t xml:space="preserve"> Steps</w:t>
      </w:r>
      <w:r>
        <w:t xml:space="preserve"> to Implement</w:t>
      </w:r>
      <w:bookmarkEnd w:id="9"/>
      <w:bookmarkEnd w:id="10"/>
    </w:p>
    <w:p w14:paraId="31DB82B7" w14:textId="2563C3AF" w:rsidR="00C138A9" w:rsidRDefault="00C138A9" w:rsidP="00C138A9">
      <w:pPr>
        <w:pStyle w:val="BodyParagraph"/>
      </w:pPr>
      <w:r>
        <w:t xml:space="preserve">The description below outlines the general steps </w:t>
      </w:r>
      <w:r w:rsidR="00186B66">
        <w:t xml:space="preserve">RSG will follow </w:t>
      </w:r>
      <w:r>
        <w:t xml:space="preserve">for the development of </w:t>
      </w:r>
      <w:r w:rsidR="007313B1">
        <w:t>one</w:t>
      </w:r>
      <w:r w:rsidR="00186B66">
        <w:t xml:space="preserve"> </w:t>
      </w:r>
      <w:proofErr w:type="spellStart"/>
      <w:r>
        <w:t>VisionEval</w:t>
      </w:r>
      <w:proofErr w:type="spellEnd"/>
      <w:r>
        <w:t xml:space="preserve"> </w:t>
      </w:r>
      <w:r w:rsidR="007313B1">
        <w:t>model for the entire Valley.</w:t>
      </w:r>
      <w:r>
        <w:t xml:space="preserve"> </w:t>
      </w:r>
    </w:p>
    <w:p w14:paraId="5373C86A" w14:textId="0D0A413F" w:rsidR="009F4214" w:rsidRPr="00C55C1C" w:rsidRDefault="5519AFB7" w:rsidP="00C138A9">
      <w:pPr>
        <w:pStyle w:val="BodyParagraph"/>
        <w:numPr>
          <w:ilvl w:val="0"/>
          <w:numId w:val="23"/>
        </w:numPr>
        <w:rPr>
          <w:b/>
          <w:bCs/>
        </w:rPr>
      </w:pPr>
      <w:r w:rsidRPr="5519AFB7">
        <w:rPr>
          <w:b/>
          <w:bCs/>
        </w:rPr>
        <w:t xml:space="preserve">Aligning Socio-Economic Data: </w:t>
      </w:r>
      <w:r>
        <w:t xml:space="preserve">The </w:t>
      </w:r>
      <w:proofErr w:type="spellStart"/>
      <w:r>
        <w:t>VisionEval</w:t>
      </w:r>
      <w:proofErr w:type="spellEnd"/>
      <w:r>
        <w:t xml:space="preserve"> model will start by using the base year data from Census and other public sources. RSG will choose the best population synthesis approach to use given the quality of that data and synthesize the modeled population.</w:t>
      </w:r>
    </w:p>
    <w:p w14:paraId="11D0E7FE" w14:textId="56ED70B0" w:rsidR="00E839EA" w:rsidRDefault="5519AFB7" w:rsidP="0090742D">
      <w:pPr>
        <w:pStyle w:val="BodyParagraph"/>
        <w:numPr>
          <w:ilvl w:val="0"/>
          <w:numId w:val="23"/>
        </w:numPr>
      </w:pPr>
      <w:r w:rsidRPr="796AE52A">
        <w:rPr>
          <w:b/>
          <w:bCs/>
        </w:rPr>
        <w:t>Geographic scale and resolution:</w:t>
      </w:r>
      <w:r>
        <w:t xml:space="preserve"> The </w:t>
      </w:r>
      <w:proofErr w:type="spellStart"/>
      <w:r>
        <w:t>VisionEval</w:t>
      </w:r>
      <w:proofErr w:type="spellEnd"/>
      <w:r>
        <w:t xml:space="preserve"> system has recently been used in high population areas such as Baltimore and Houston. The SJV’s size, variety of land use intensity, and diversity will require a large model application of </w:t>
      </w:r>
      <w:proofErr w:type="spellStart"/>
      <w:r>
        <w:t>VisionEval</w:t>
      </w:r>
      <w:proofErr w:type="spellEnd"/>
      <w:r>
        <w:t>. The Long-Range Plan states, “While the SJV is largely rural in nature, it does contain several large cities and suburbs with a total population of a little over 4 million people. The eight San Joaquin Valley counties are a part of seven Metropolitan Statistical Areas (MSAs): Stockton-Lodi (San Joaquin County), Modesto (Stanislaus County), Merced, Fresno</w:t>
      </w:r>
      <w:r w:rsidR="000B5EFC">
        <w:t xml:space="preserve"> </w:t>
      </w:r>
      <w:r>
        <w:t xml:space="preserve">(Fresno </w:t>
      </w:r>
      <w:proofErr w:type="spellStart"/>
      <w:r>
        <w:t>County,Madera</w:t>
      </w:r>
      <w:proofErr w:type="spellEnd"/>
      <w:r>
        <w:t xml:space="preserve"> County), Hanford-Corcoran (Kings County), Visalia (Tulare County) and Bakersfield-Delano (Kern County).” The </w:t>
      </w:r>
      <w:proofErr w:type="spellStart"/>
      <w:r>
        <w:t>VisionEval</w:t>
      </w:r>
      <w:proofErr w:type="spellEnd"/>
      <w:r>
        <w:t xml:space="preserve"> model will be designed to cover the entire San Joaquin Valley (SJV), with a zone structure built upon the Census geographies designed to nest as much as possible within each County boundary.</w:t>
      </w:r>
    </w:p>
    <w:p w14:paraId="264C11A2" w14:textId="14729E05" w:rsidR="00C138A9" w:rsidRDefault="00C138A9" w:rsidP="00C138A9">
      <w:pPr>
        <w:pStyle w:val="BodyParagraph"/>
        <w:numPr>
          <w:ilvl w:val="0"/>
          <w:numId w:val="23"/>
        </w:numPr>
      </w:pPr>
      <w:r>
        <w:t xml:space="preserve">A </w:t>
      </w:r>
      <w:r w:rsidRPr="00512776">
        <w:rPr>
          <w:b/>
          <w:bCs/>
        </w:rPr>
        <w:t xml:space="preserve">crosswalk between </w:t>
      </w:r>
      <w:r w:rsidR="0011039E" w:rsidRPr="00512776">
        <w:rPr>
          <w:b/>
          <w:bCs/>
        </w:rPr>
        <w:t>the</w:t>
      </w:r>
      <w:r w:rsidR="006B0FD0" w:rsidRPr="00512776">
        <w:rPr>
          <w:b/>
          <w:bCs/>
        </w:rPr>
        <w:t xml:space="preserve"> eight MPO</w:t>
      </w:r>
      <w:r w:rsidR="0011039E" w:rsidRPr="00512776">
        <w:rPr>
          <w:b/>
          <w:bCs/>
        </w:rPr>
        <w:t xml:space="preserve"> </w:t>
      </w:r>
      <w:r w:rsidR="00351D61" w:rsidRPr="00512776">
        <w:rPr>
          <w:b/>
          <w:bCs/>
        </w:rPr>
        <w:t>travel demand model</w:t>
      </w:r>
      <w:r w:rsidR="006B0FD0" w:rsidRPr="00512776">
        <w:rPr>
          <w:b/>
          <w:bCs/>
        </w:rPr>
        <w:t>s’</w:t>
      </w:r>
      <w:r w:rsidR="00351D61" w:rsidRPr="00512776">
        <w:rPr>
          <w:b/>
          <w:bCs/>
        </w:rPr>
        <w:t xml:space="preserve"> </w:t>
      </w:r>
      <w:r w:rsidRPr="00512776">
        <w:rPr>
          <w:b/>
          <w:bCs/>
        </w:rPr>
        <w:t xml:space="preserve">TAZs and the </w:t>
      </w:r>
      <w:proofErr w:type="spellStart"/>
      <w:r w:rsidRPr="00512776">
        <w:rPr>
          <w:b/>
          <w:bCs/>
        </w:rPr>
        <w:t>VisionEval</w:t>
      </w:r>
      <w:proofErr w:type="spellEnd"/>
      <w:r w:rsidRPr="00512776">
        <w:rPr>
          <w:b/>
          <w:bCs/>
        </w:rPr>
        <w:t xml:space="preserve"> zone system</w:t>
      </w:r>
      <w:r>
        <w:t xml:space="preserve"> </w:t>
      </w:r>
      <w:r w:rsidR="002D4088">
        <w:t xml:space="preserve">will support finalizing workable </w:t>
      </w:r>
      <w:proofErr w:type="spellStart"/>
      <w:r w:rsidR="002D4088">
        <w:t>VisionEval</w:t>
      </w:r>
      <w:proofErr w:type="spellEnd"/>
      <w:r w:rsidR="002D4088">
        <w:t xml:space="preserve"> zones and </w:t>
      </w:r>
      <w:r>
        <w:t xml:space="preserve">allow for </w:t>
      </w:r>
      <w:r w:rsidR="002D4088">
        <w:t xml:space="preserve">any necessary </w:t>
      </w:r>
      <w:r>
        <w:t xml:space="preserve">translation between </w:t>
      </w:r>
      <w:r w:rsidR="008B0974">
        <w:t xml:space="preserve">the </w:t>
      </w:r>
      <w:r w:rsidR="002607E9">
        <w:t>travel model</w:t>
      </w:r>
      <w:r w:rsidR="006B0FD0">
        <w:t>s</w:t>
      </w:r>
      <w:r w:rsidR="002607E9">
        <w:t xml:space="preserve"> and </w:t>
      </w:r>
      <w:proofErr w:type="spellStart"/>
      <w:r w:rsidR="002607E9">
        <w:t>VisionEval</w:t>
      </w:r>
      <w:proofErr w:type="spellEnd"/>
      <w:r>
        <w:t xml:space="preserve">. </w:t>
      </w:r>
    </w:p>
    <w:p w14:paraId="4A28594F" w14:textId="495356A3" w:rsidR="00826CFA" w:rsidRDefault="00826CFA" w:rsidP="00826CFA">
      <w:pPr>
        <w:pStyle w:val="Caption"/>
      </w:pPr>
      <w:bookmarkStart w:id="11" w:name="_Toc196224253"/>
      <w:r>
        <w:lastRenderedPageBreak/>
        <w:t xml:space="preserve">Figure </w:t>
      </w:r>
      <w:r>
        <w:fldChar w:fldCharType="begin"/>
      </w:r>
      <w:r>
        <w:instrText>SEQ Figure \* ARABIC</w:instrText>
      </w:r>
      <w:r>
        <w:fldChar w:fldCharType="separate"/>
      </w:r>
      <w:r>
        <w:rPr>
          <w:noProof/>
        </w:rPr>
        <w:t>2</w:t>
      </w:r>
      <w:r>
        <w:fldChar w:fldCharType="end"/>
      </w:r>
      <w:r>
        <w:t>: Model Region</w:t>
      </w:r>
      <w:bookmarkEnd w:id="11"/>
    </w:p>
    <w:p w14:paraId="2B041BAA" w14:textId="292EC027" w:rsidR="00351D61" w:rsidRDefault="007D5F5B" w:rsidP="00826CFA">
      <w:pPr>
        <w:pStyle w:val="BodyParagraph"/>
      </w:pPr>
      <w:r w:rsidRPr="00826CFA">
        <w:rPr>
          <w:noProof/>
        </w:rPr>
        <w:drawing>
          <wp:inline distT="0" distB="0" distL="0" distR="0" wp14:anchorId="018E5E28" wp14:editId="2B71ED6C">
            <wp:extent cx="5020376" cy="6020640"/>
            <wp:effectExtent l="0" t="0" r="8890" b="0"/>
            <wp:docPr id="1632778130" name="Picture 1" descr="A map of a state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78130" name="Picture 1" descr="A map of a state with a red line&#10;&#10;AI-generated content may be incorrect."/>
                    <pic:cNvPicPr/>
                  </pic:nvPicPr>
                  <pic:blipFill>
                    <a:blip r:embed="rId23"/>
                    <a:stretch>
                      <a:fillRect/>
                    </a:stretch>
                  </pic:blipFill>
                  <pic:spPr>
                    <a:xfrm>
                      <a:off x="0" y="0"/>
                      <a:ext cx="5020376" cy="6020640"/>
                    </a:xfrm>
                    <a:prstGeom prst="rect">
                      <a:avLst/>
                    </a:prstGeom>
                  </pic:spPr>
                </pic:pic>
              </a:graphicData>
            </a:graphic>
          </wp:inline>
        </w:drawing>
      </w:r>
    </w:p>
    <w:p w14:paraId="6025993F" w14:textId="77777777" w:rsidR="004828BE" w:rsidRDefault="004828BE" w:rsidP="004828BE">
      <w:pPr>
        <w:pStyle w:val="BodyParagraph"/>
      </w:pPr>
    </w:p>
    <w:p w14:paraId="532FFFB0" w14:textId="4C5E7160" w:rsidR="00C138A9" w:rsidRPr="00A70F5F" w:rsidRDefault="1F292E3D" w:rsidP="00C138A9">
      <w:pPr>
        <w:pStyle w:val="BodyParagraph"/>
        <w:numPr>
          <w:ilvl w:val="0"/>
          <w:numId w:val="24"/>
        </w:numPr>
      </w:pPr>
      <w:r w:rsidRPr="1F292E3D">
        <w:rPr>
          <w:b/>
          <w:bCs/>
        </w:rPr>
        <w:t>Confirm analysis years:</w:t>
      </w:r>
      <w:r>
        <w:t xml:space="preserve"> The </w:t>
      </w:r>
      <w:proofErr w:type="spellStart"/>
      <w:r>
        <w:t>VisionEval</w:t>
      </w:r>
      <w:proofErr w:type="spellEnd"/>
      <w:r>
        <w:t xml:space="preserve"> model requires inputs for all analysis years. RSG will facilitate Valley MPO agreement on the desired </w:t>
      </w:r>
      <w:proofErr w:type="spellStart"/>
      <w:r>
        <w:t>baseyear</w:t>
      </w:r>
      <w:proofErr w:type="spellEnd"/>
      <w:r>
        <w:t xml:space="preserve"> (assumed 2023) and a future horizon year (assumed to be 2046for the moment). Data developed for the future baseline scenario will serve as a pivot point from which to develop future “action” scenarios and any desired intermediate years.</w:t>
      </w:r>
    </w:p>
    <w:p w14:paraId="79A3B020" w14:textId="18983E1E" w:rsidR="00A72315" w:rsidRDefault="00C138A9" w:rsidP="005705A6">
      <w:pPr>
        <w:pStyle w:val="BodyParagraph"/>
        <w:numPr>
          <w:ilvl w:val="0"/>
          <w:numId w:val="26"/>
        </w:numPr>
      </w:pPr>
      <w:r w:rsidRPr="6CF6DA0C">
        <w:rPr>
          <w:b/>
          <w:bCs/>
        </w:rPr>
        <w:lastRenderedPageBreak/>
        <w:t>Collect data:</w:t>
      </w:r>
      <w:r>
        <w:t xml:space="preserve"> This step covers the range of </w:t>
      </w:r>
      <w:r w:rsidR="009D618E">
        <w:t xml:space="preserve">data </w:t>
      </w:r>
      <w:r>
        <w:t xml:space="preserve">collection activities to inform the many inputs that the </w:t>
      </w:r>
      <w:proofErr w:type="spellStart"/>
      <w:r>
        <w:t>VisionEval</w:t>
      </w:r>
      <w:proofErr w:type="spellEnd"/>
      <w:r>
        <w:t xml:space="preserve"> model uses. </w:t>
      </w:r>
      <w:r w:rsidR="00A72315">
        <w:t xml:space="preserve">RSG will source </w:t>
      </w:r>
      <w:proofErr w:type="spellStart"/>
      <w:r w:rsidR="00A72315">
        <w:t>baseyear</w:t>
      </w:r>
      <w:proofErr w:type="spellEnd"/>
      <w:r w:rsidR="00A72315">
        <w:t xml:space="preserve"> data from Census and public assets; the Valley MPOs will prepare the future (and any intermediate year) VE inputs themselves in one common horizon year (assumed to be </w:t>
      </w:r>
      <w:r w:rsidR="7C243D0F">
        <w:t>2046</w:t>
      </w:r>
      <w:r w:rsidR="00A72315">
        <w:t>)</w:t>
      </w:r>
      <w:r w:rsidR="001804DE">
        <w:t>, with RSG assistance to standardize into the VE-required format</w:t>
      </w:r>
      <w:r>
        <w:t xml:space="preserve">. Other inputs regarding the types of vehicles registered may require </w:t>
      </w:r>
      <w:r w:rsidR="00A72315">
        <w:t xml:space="preserve">assistance </w:t>
      </w:r>
      <w:r>
        <w:t>from the</w:t>
      </w:r>
      <w:r w:rsidR="002B5057">
        <w:t xml:space="preserve"> other COG and </w:t>
      </w:r>
      <w:r>
        <w:t xml:space="preserve">state </w:t>
      </w:r>
      <w:r w:rsidR="00335DD9">
        <w:t>agencies</w:t>
      </w:r>
      <w:r>
        <w:t>. This effort will</w:t>
      </w:r>
      <w:r w:rsidR="00BD6D7F">
        <w:t xml:space="preserve"> likely</w:t>
      </w:r>
      <w:r>
        <w:t xml:space="preserve"> require some assumptions and professional judgments </w:t>
      </w:r>
      <w:r w:rsidR="00120A45">
        <w:t xml:space="preserve">since </w:t>
      </w:r>
      <w:r>
        <w:t xml:space="preserve">data may not be available for all years and </w:t>
      </w:r>
      <w:r w:rsidR="00120A45">
        <w:t xml:space="preserve">all </w:t>
      </w:r>
      <w:r>
        <w:t>geographies.</w:t>
      </w:r>
    </w:p>
    <w:p w14:paraId="3473D70B" w14:textId="2CA27434" w:rsidR="00226B41" w:rsidRDefault="00C138A9" w:rsidP="005705A6">
      <w:pPr>
        <w:pStyle w:val="BodyParagraph"/>
        <w:numPr>
          <w:ilvl w:val="0"/>
          <w:numId w:val="26"/>
        </w:numPr>
      </w:pPr>
      <w:r w:rsidRPr="00A72315">
        <w:rPr>
          <w:b/>
          <w:bCs/>
        </w:rPr>
        <w:t xml:space="preserve">Confirm modules and </w:t>
      </w:r>
      <w:proofErr w:type="spellStart"/>
      <w:r w:rsidRPr="00A72315">
        <w:rPr>
          <w:b/>
          <w:bCs/>
        </w:rPr>
        <w:t>VisionEval</w:t>
      </w:r>
      <w:proofErr w:type="spellEnd"/>
      <w:r w:rsidRPr="00A72315">
        <w:rPr>
          <w:b/>
          <w:bCs/>
        </w:rPr>
        <w:t xml:space="preserve"> packages</w:t>
      </w:r>
      <w:r w:rsidRPr="00A72315">
        <w:rPr>
          <w:b/>
        </w:rPr>
        <w:t>:</w:t>
      </w:r>
      <w:r w:rsidRPr="00A70F5F">
        <w:t xml:space="preserve"> </w:t>
      </w:r>
      <w:r w:rsidRPr="00A72315">
        <w:rPr>
          <w:color w:val="auto"/>
        </w:rPr>
        <w:t xml:space="preserve">As a modular software package </w:t>
      </w:r>
      <w:r w:rsidRPr="00A70F5F">
        <w:t>there are various options available to bring new insights and analysis opportunities into the decision</w:t>
      </w:r>
      <w:r>
        <w:t>-</w:t>
      </w:r>
      <w:r w:rsidRPr="00A70F5F">
        <w:t xml:space="preserve">making process. </w:t>
      </w:r>
      <w:r w:rsidR="00BD6D7F">
        <w:t>RSG assumes the following modules will be implemented:</w:t>
      </w:r>
    </w:p>
    <w:p w14:paraId="6D5D1745" w14:textId="12DE52A8" w:rsidR="00933E17" w:rsidRPr="000F7680" w:rsidRDefault="00226B41" w:rsidP="00226B41">
      <w:pPr>
        <w:pStyle w:val="BodyParagraph"/>
        <w:numPr>
          <w:ilvl w:val="1"/>
          <w:numId w:val="26"/>
        </w:numPr>
      </w:pPr>
      <w:proofErr w:type="spellStart"/>
      <w:r>
        <w:rPr>
          <w:b/>
          <w:bCs/>
        </w:rPr>
        <w:t>VEPopulationSim</w:t>
      </w:r>
      <w:proofErr w:type="spellEnd"/>
      <w:r>
        <w:rPr>
          <w:b/>
          <w:bCs/>
        </w:rPr>
        <w:t xml:space="preserve">: </w:t>
      </w:r>
      <w:r w:rsidR="00255104">
        <w:t xml:space="preserve">This is </w:t>
      </w:r>
      <w:r w:rsidR="000F7680">
        <w:t xml:space="preserve">a powerful </w:t>
      </w:r>
      <w:r w:rsidR="00255104">
        <w:t xml:space="preserve">and necessary </w:t>
      </w:r>
      <w:r w:rsidR="000F7680">
        <w:t xml:space="preserve">tool to incorporate US Census </w:t>
      </w:r>
      <w:r w:rsidR="004E51AF">
        <w:t>American Community Survey (</w:t>
      </w:r>
      <w:r w:rsidR="000F7680">
        <w:t>ACS</w:t>
      </w:r>
      <w:r w:rsidR="004E51AF">
        <w:t>)</w:t>
      </w:r>
      <w:r w:rsidR="000F7680">
        <w:t xml:space="preserve"> variables </w:t>
      </w:r>
      <w:r w:rsidR="00335DD9">
        <w:t xml:space="preserve">and </w:t>
      </w:r>
      <w:r w:rsidR="000F7680">
        <w:t>append</w:t>
      </w:r>
      <w:r w:rsidR="00335DD9">
        <w:t xml:space="preserve"> them </w:t>
      </w:r>
      <w:r w:rsidR="000F7680">
        <w:t xml:space="preserve">to the individual and household </w:t>
      </w:r>
      <w:r w:rsidR="00090C77">
        <w:t>records</w:t>
      </w:r>
      <w:r w:rsidR="00255104">
        <w:t xml:space="preserve">. It can </w:t>
      </w:r>
      <w:r w:rsidR="009E0C52">
        <w:t xml:space="preserve">also </w:t>
      </w:r>
      <w:r w:rsidR="00255104">
        <w:t xml:space="preserve">be used </w:t>
      </w:r>
      <w:r w:rsidR="009E0C52">
        <w:t xml:space="preserve">to create alternative demographic scenarios for </w:t>
      </w:r>
      <w:r w:rsidR="00D1732A">
        <w:t>analysis</w:t>
      </w:r>
      <w:r w:rsidR="00255104">
        <w:t>.</w:t>
      </w:r>
    </w:p>
    <w:p w14:paraId="27633749" w14:textId="4DEE0DA6" w:rsidR="00933E17" w:rsidRDefault="00933E17" w:rsidP="00226B41">
      <w:pPr>
        <w:pStyle w:val="BodyParagraph"/>
        <w:numPr>
          <w:ilvl w:val="1"/>
          <w:numId w:val="26"/>
        </w:numPr>
      </w:pPr>
      <w:r w:rsidRPr="000F7680">
        <w:rPr>
          <w:b/>
          <w:bCs/>
        </w:rPr>
        <w:t>Working from Home</w:t>
      </w:r>
      <w:r w:rsidRPr="000F7680">
        <w:t xml:space="preserve">: The </w:t>
      </w:r>
      <w:r w:rsidR="00255104">
        <w:t>W</w:t>
      </w:r>
      <w:r w:rsidR="009E0C52">
        <w:t xml:space="preserve">FH </w:t>
      </w:r>
      <w:r w:rsidRPr="000F7680">
        <w:t xml:space="preserve">module was built around observed travel behavior for those who are teleworking </w:t>
      </w:r>
      <w:r w:rsidR="009E0C52">
        <w:t>u</w:t>
      </w:r>
      <w:r w:rsidR="00120A45">
        <w:t>sing data from</w:t>
      </w:r>
      <w:r w:rsidR="00120A45" w:rsidRPr="000F7680">
        <w:t xml:space="preserve"> </w:t>
      </w:r>
      <w:r w:rsidRPr="000F7680">
        <w:t>RSG</w:t>
      </w:r>
      <w:r w:rsidR="00120A45">
        <w:t>’s numerous</w:t>
      </w:r>
      <w:r w:rsidRPr="000F7680">
        <w:t xml:space="preserve"> </w:t>
      </w:r>
      <w:proofErr w:type="spellStart"/>
      <w:r w:rsidRPr="000F7680">
        <w:t>rMove</w:t>
      </w:r>
      <w:proofErr w:type="spellEnd"/>
      <w:r w:rsidRPr="000F7680">
        <w:t xml:space="preserve"> household travel surveys. The module uses the occupation of the workers </w:t>
      </w:r>
      <w:r w:rsidR="00923525" w:rsidRPr="000F7680">
        <w:t xml:space="preserve">(from BLS data) to assert a propensity to telework. The rate of teleworking is an input to the model and will then change the </w:t>
      </w:r>
      <w:r w:rsidR="000F7680" w:rsidRPr="000F7680">
        <w:t xml:space="preserve">number of commute trips made by the individual. </w:t>
      </w:r>
    </w:p>
    <w:p w14:paraId="787258BF" w14:textId="6EE25769" w:rsidR="00667AEE" w:rsidRDefault="000F7680" w:rsidP="00226B41">
      <w:pPr>
        <w:pStyle w:val="BodyParagraph"/>
        <w:numPr>
          <w:ilvl w:val="1"/>
          <w:numId w:val="26"/>
        </w:numPr>
      </w:pPr>
      <w:r w:rsidRPr="6CF6DA0C">
        <w:rPr>
          <w:b/>
          <w:bCs/>
        </w:rPr>
        <w:t>Health Module</w:t>
      </w:r>
      <w:r w:rsidR="00090C77" w:rsidRPr="6CF6DA0C">
        <w:rPr>
          <w:b/>
          <w:bCs/>
        </w:rPr>
        <w:t xml:space="preserve">: </w:t>
      </w:r>
      <w:r w:rsidR="00090C77">
        <w:t xml:space="preserve">RSG developed a beta version of a </w:t>
      </w:r>
      <w:proofErr w:type="spellStart"/>
      <w:r w:rsidR="00090C77">
        <w:t>VisionEval</w:t>
      </w:r>
      <w:proofErr w:type="spellEnd"/>
      <w:r w:rsidR="00090C77">
        <w:t xml:space="preserve"> module to use the </w:t>
      </w:r>
      <w:proofErr w:type="spellStart"/>
      <w:r w:rsidR="00090C77">
        <w:t>VisionEval</w:t>
      </w:r>
      <w:proofErr w:type="spellEnd"/>
      <w:r w:rsidR="00090C77">
        <w:t xml:space="preserve"> model to estimate changes in </w:t>
      </w:r>
      <w:r w:rsidR="00667AEE">
        <w:t>avoided</w:t>
      </w:r>
      <w:r w:rsidR="00090C77">
        <w:t xml:space="preserve"> deaths due to changes in travel behavior. The Integrated </w:t>
      </w:r>
      <w:r w:rsidR="0062324A">
        <w:t xml:space="preserve">Transport and Health Impact Modeling Tool (ITHIM) </w:t>
      </w:r>
      <w:r w:rsidR="00667AEE">
        <w:t>uses baseline health data for the specific geographic region to account for how exposure to air pollution, crash rates, and changes in active travel will change deaths in the population.</w:t>
      </w:r>
    </w:p>
    <w:p w14:paraId="445E724A" w14:textId="4E3C5A3E" w:rsidR="000F7680" w:rsidRDefault="00667AEE" w:rsidP="00226B41">
      <w:pPr>
        <w:pStyle w:val="BodyParagraph"/>
        <w:numPr>
          <w:ilvl w:val="1"/>
          <w:numId w:val="26"/>
        </w:numPr>
      </w:pPr>
      <w:r w:rsidRPr="6CF6DA0C">
        <w:rPr>
          <w:b/>
          <w:bCs/>
        </w:rPr>
        <w:t>Driverless:</w:t>
      </w:r>
      <w:r>
        <w:t xml:space="preserve"> RSG developed with FHWA support several enhancements to model the effects of highly connected human driven vehicle and fully autonomous </w:t>
      </w:r>
      <w:r w:rsidR="00D1732A">
        <w:t>self-driving</w:t>
      </w:r>
      <w:r>
        <w:t xml:space="preserve"> vehicles. </w:t>
      </w:r>
      <w:r w:rsidR="004729C7">
        <w:t xml:space="preserve">The vehicles </w:t>
      </w:r>
      <w:r w:rsidR="008128BA">
        <w:t>can</w:t>
      </w:r>
      <w:r w:rsidR="004729C7">
        <w:t xml:space="preserve"> be owned by a household or considered as ride hailing vehicles</w:t>
      </w:r>
      <w:r w:rsidR="008128BA">
        <w:t xml:space="preserve">. </w:t>
      </w:r>
      <w:r w:rsidR="004729C7">
        <w:t>Transit and commercial vans can also be tested for how automation may affect VMT and transportation capacity of the system.</w:t>
      </w:r>
    </w:p>
    <w:p w14:paraId="7200F053" w14:textId="473E20DB" w:rsidR="003F608F" w:rsidRDefault="1F292E3D" w:rsidP="19A0F1C5">
      <w:pPr>
        <w:pStyle w:val="BodyParagraph"/>
        <w:numPr>
          <w:ilvl w:val="0"/>
          <w:numId w:val="37"/>
        </w:numPr>
        <w:rPr>
          <w:b/>
          <w:bCs/>
        </w:rPr>
      </w:pPr>
      <w:r w:rsidRPr="1F292E3D">
        <w:rPr>
          <w:b/>
          <w:bCs/>
        </w:rPr>
        <w:t>Housing and Land Use Allocation procedures:</w:t>
      </w:r>
    </w:p>
    <w:p w14:paraId="02E85A4C" w14:textId="0ABC30D7" w:rsidR="2D5A1AA7" w:rsidRDefault="00374D8D" w:rsidP="19A0F1C5">
      <w:pPr>
        <w:pStyle w:val="BodyParagraph"/>
        <w:numPr>
          <w:ilvl w:val="1"/>
          <w:numId w:val="37"/>
        </w:numPr>
      </w:pPr>
      <w:r>
        <w:t>RSG</w:t>
      </w:r>
      <w:r w:rsidR="2D5A1AA7">
        <w:t xml:space="preserve"> will work with FresnoCOG staff to assess the best technical solution for incorporating a reasonably robust treatment of </w:t>
      </w:r>
      <w:r>
        <w:t>land use and household location</w:t>
      </w:r>
      <w:r w:rsidR="2D5A1AA7">
        <w:t xml:space="preserve">. </w:t>
      </w:r>
      <w:r w:rsidR="4EBE02DD">
        <w:t xml:space="preserve">Given the size of the model region--8 counties and </w:t>
      </w:r>
      <w:r w:rsidR="4EBE02DD">
        <w:lastRenderedPageBreak/>
        <w:t xml:space="preserve">over 4 million people--finding efficient ways to </w:t>
      </w:r>
      <w:r w:rsidR="7AA2F6E4">
        <w:t>apply</w:t>
      </w:r>
      <w:r w:rsidR="4EBE02DD">
        <w:t xml:space="preserve"> alternative land use strategies will be an important consideration in this project. </w:t>
      </w:r>
      <w:r w:rsidR="2D5A1AA7">
        <w:t>There are several possible op</w:t>
      </w:r>
      <w:r w:rsidR="3E63F506">
        <w:t xml:space="preserve">tions: manual scenario design </w:t>
      </w:r>
      <w:r w:rsidR="47BA2D80">
        <w:t xml:space="preserve">using GIS to </w:t>
      </w:r>
      <w:r w:rsidR="00C16EE5">
        <w:t xml:space="preserve">directly </w:t>
      </w:r>
      <w:r w:rsidR="47BA2D80">
        <w:t xml:space="preserve">adjust baseline inputs to form different scenarios, </w:t>
      </w:r>
      <w:r w:rsidR="3E63F506">
        <w:t xml:space="preserve">new </w:t>
      </w:r>
      <w:r w:rsidR="43480CE6">
        <w:t xml:space="preserve">automated or semi-automated </w:t>
      </w:r>
      <w:r w:rsidR="3E63F506">
        <w:t xml:space="preserve">modules just now coming online for </w:t>
      </w:r>
      <w:proofErr w:type="spellStart"/>
      <w:r w:rsidR="005B7679">
        <w:t>VisionEval</w:t>
      </w:r>
      <w:proofErr w:type="spellEnd"/>
      <w:r w:rsidR="005B7679">
        <w:t xml:space="preserve"> or</w:t>
      </w:r>
      <w:r w:rsidR="60E7A6F1">
        <w:t xml:space="preserve"> borrowing a separate </w:t>
      </w:r>
      <w:r w:rsidR="4DB6F8C7">
        <w:t xml:space="preserve">land use allocation </w:t>
      </w:r>
      <w:r w:rsidR="60E7A6F1">
        <w:t>pre-processor proven to be successful in the SJV or another region with a similar population.</w:t>
      </w:r>
    </w:p>
    <w:p w14:paraId="5D3CD174" w14:textId="403FBA9E" w:rsidR="003F608F" w:rsidRDefault="003F608F" w:rsidP="19A0F1C5">
      <w:pPr>
        <w:pStyle w:val="BodyParagraph"/>
        <w:numPr>
          <w:ilvl w:val="2"/>
          <w:numId w:val="37"/>
        </w:numPr>
      </w:pPr>
      <w:r>
        <w:t xml:space="preserve">The </w:t>
      </w:r>
      <w:r w:rsidR="00F07992">
        <w:t xml:space="preserve">standard </w:t>
      </w:r>
      <w:r w:rsidR="009F02C3">
        <w:t xml:space="preserve">(manual) </w:t>
      </w:r>
      <w:r>
        <w:t xml:space="preserve">process </w:t>
      </w:r>
      <w:r w:rsidR="00F07992">
        <w:t xml:space="preserve">in </w:t>
      </w:r>
      <w:proofErr w:type="spellStart"/>
      <w:r w:rsidR="00F07992">
        <w:t>VisionEval</w:t>
      </w:r>
      <w:proofErr w:type="spellEnd"/>
      <w:r w:rsidR="00F07992">
        <w:t xml:space="preserve"> </w:t>
      </w:r>
      <w:r w:rsidR="00882541">
        <w:t xml:space="preserve">allows the user to specify at the TAZ level (i.e., </w:t>
      </w:r>
      <w:proofErr w:type="spellStart"/>
      <w:r w:rsidR="00882541">
        <w:t>Bzone</w:t>
      </w:r>
      <w:proofErr w:type="spellEnd"/>
      <w:r w:rsidR="00882541">
        <w:t xml:space="preserve"> in </w:t>
      </w:r>
      <w:proofErr w:type="spellStart"/>
      <w:r w:rsidR="00882541">
        <w:t>VisionEval</w:t>
      </w:r>
      <w:proofErr w:type="spellEnd"/>
      <w:r w:rsidR="00882541">
        <w:t xml:space="preserve">) the number of multifamily, single family, and group quarter housing units. </w:t>
      </w:r>
      <w:r w:rsidR="0048176D">
        <w:t xml:space="preserve">The user assembles and adjusts </w:t>
      </w:r>
      <w:r w:rsidR="004943BC">
        <w:t>information such as population density of the zone (using the size of the zone and developable land</w:t>
      </w:r>
      <w:r w:rsidR="005C6B76">
        <w:t xml:space="preserve"> area</w:t>
      </w:r>
      <w:r w:rsidR="004943BC">
        <w:t xml:space="preserve"> estimates), number of jobs in the zone, and network attributes such as walkability, intersection density, and transit frequency</w:t>
      </w:r>
      <w:r w:rsidR="0048176D">
        <w:t>)</w:t>
      </w:r>
      <w:r w:rsidR="001C74E8">
        <w:t xml:space="preserve">. </w:t>
      </w:r>
      <w:proofErr w:type="spellStart"/>
      <w:r w:rsidR="0048176D">
        <w:t>VisionEval</w:t>
      </w:r>
      <w:proofErr w:type="spellEnd"/>
      <w:r w:rsidR="0048176D">
        <w:t xml:space="preserve"> taps these inputs to </w:t>
      </w:r>
      <w:r w:rsidR="004943BC">
        <w:t xml:space="preserve">establish </w:t>
      </w:r>
      <w:r w:rsidR="0048176D">
        <w:t xml:space="preserve">during runtime </w:t>
      </w:r>
      <w:r w:rsidR="004943BC">
        <w:t xml:space="preserve">whether the zone is part of a </w:t>
      </w:r>
      <w:r w:rsidR="005B7679">
        <w:t>mixed-use</w:t>
      </w:r>
      <w:r w:rsidR="004943BC">
        <w:t xml:space="preserve"> neighborhood</w:t>
      </w:r>
      <w:r w:rsidR="0048176D">
        <w:t xml:space="preserve"> (a key predictor of travel behavior)</w:t>
      </w:r>
      <w:r w:rsidR="004943BC">
        <w:t xml:space="preserve">. </w:t>
      </w:r>
      <w:r w:rsidR="006B253E">
        <w:t xml:space="preserve">Given </w:t>
      </w:r>
      <w:r w:rsidR="25183FC7">
        <w:t xml:space="preserve">that </w:t>
      </w:r>
      <w:r w:rsidR="006B253E">
        <w:t xml:space="preserve">the zone structure can be </w:t>
      </w:r>
      <w:r w:rsidR="329FB73D">
        <w:t xml:space="preserve">borrowed directly from </w:t>
      </w:r>
      <w:r w:rsidR="00D87F96">
        <w:t>Census geographies</w:t>
      </w:r>
      <w:r w:rsidR="006B253E">
        <w:t xml:space="preserve">, entering </w:t>
      </w:r>
      <w:r w:rsidR="24C64451">
        <w:t xml:space="preserve">the “baseline” version of </w:t>
      </w:r>
      <w:r w:rsidR="006B253E">
        <w:t xml:space="preserve">these inputs is </w:t>
      </w:r>
      <w:r w:rsidR="2253D748">
        <w:t xml:space="preserve">often </w:t>
      </w:r>
      <w:r w:rsidR="006B253E">
        <w:t>a straightforward process</w:t>
      </w:r>
      <w:r w:rsidR="5013B8A9">
        <w:t xml:space="preserve"> since MPOs typically already have an adopted baseline future land use encoded for use in their travel models</w:t>
      </w:r>
      <w:r w:rsidR="006B253E">
        <w:t>. However, developing alternatives</w:t>
      </w:r>
      <w:r w:rsidR="1DBFC7EB">
        <w:t xml:space="preserve"> </w:t>
      </w:r>
      <w:r w:rsidR="42916331">
        <w:t>using t</w:t>
      </w:r>
      <w:r w:rsidR="3770AB7C">
        <w:t xml:space="preserve">his </w:t>
      </w:r>
      <w:r w:rsidR="42916331">
        <w:t xml:space="preserve">standard ‘manual’ process </w:t>
      </w:r>
      <w:r w:rsidR="00424DE0">
        <w:t xml:space="preserve">requires </w:t>
      </w:r>
      <w:r w:rsidR="645BA817">
        <w:t>using additional tools such as ArcGIS to adjust, manage, and visualize the scenario inputs</w:t>
      </w:r>
      <w:r w:rsidR="04C2C803">
        <w:t xml:space="preserve">; and </w:t>
      </w:r>
      <w:r w:rsidR="00424DE0">
        <w:t xml:space="preserve">user judgement </w:t>
      </w:r>
      <w:r w:rsidR="04C2C803">
        <w:t>to appropriately render policy variations in model-ready form.</w:t>
      </w:r>
    </w:p>
    <w:p w14:paraId="3684E941" w14:textId="6059C442" w:rsidR="002B4F28" w:rsidRPr="00194B24" w:rsidRDefault="009D799B" w:rsidP="19A0F1C5">
      <w:pPr>
        <w:pStyle w:val="BodyParagraph"/>
        <w:numPr>
          <w:ilvl w:val="2"/>
          <w:numId w:val="37"/>
        </w:numPr>
      </w:pPr>
      <w:r w:rsidRPr="00194B24">
        <w:t xml:space="preserve">RSG </w:t>
      </w:r>
      <w:r w:rsidR="1CD863C8">
        <w:t>recommends evaluating all other possible approaches relative to</w:t>
      </w:r>
      <w:r w:rsidR="0048262A" w:rsidRPr="00194B24">
        <w:t xml:space="preserve"> a beta version of a new </w:t>
      </w:r>
      <w:proofErr w:type="spellStart"/>
      <w:r w:rsidR="001251F2" w:rsidRPr="00194B24">
        <w:t>VisionEval</w:t>
      </w:r>
      <w:proofErr w:type="spellEnd"/>
      <w:r w:rsidR="001251F2" w:rsidRPr="00194B24">
        <w:t xml:space="preserve"> </w:t>
      </w:r>
      <w:r w:rsidR="0048262A" w:rsidRPr="00194B24">
        <w:t xml:space="preserve">Land Use recently developed by Portland State University. </w:t>
      </w:r>
      <w:r w:rsidR="009501E6">
        <w:t xml:space="preserve">The </w:t>
      </w:r>
      <w:r w:rsidR="001251F2">
        <w:t xml:space="preserve">new </w:t>
      </w:r>
      <w:r w:rsidR="009501E6">
        <w:t xml:space="preserve">process is designed to offer regions that have less prescriptive land use controls the flexibility to explore divergent futures with a level of control appropriate for the jurisdiction. </w:t>
      </w:r>
      <w:r w:rsidR="0048262A" w:rsidRPr="00194B24">
        <w:t xml:space="preserve">The new module </w:t>
      </w:r>
      <w:r w:rsidR="0048262A" w:rsidRPr="19A0F1C5">
        <w:rPr>
          <w:rFonts w:asciiTheme="majorHAnsi" w:hAnsiTheme="majorHAnsi" w:cstheme="majorBidi"/>
          <w:color w:val="auto"/>
        </w:rPr>
        <w:t xml:space="preserve">provides two additional </w:t>
      </w:r>
      <w:r w:rsidR="00A00541">
        <w:rPr>
          <w:rFonts w:asciiTheme="majorHAnsi" w:hAnsiTheme="majorHAnsi" w:cstheme="majorBidi"/>
          <w:color w:val="auto"/>
        </w:rPr>
        <w:t>tools</w:t>
      </w:r>
      <w:r w:rsidR="00A00541" w:rsidRPr="19A0F1C5">
        <w:rPr>
          <w:rFonts w:asciiTheme="majorHAnsi" w:hAnsiTheme="majorHAnsi" w:cstheme="majorBidi"/>
          <w:color w:val="auto"/>
        </w:rPr>
        <w:t xml:space="preserve"> </w:t>
      </w:r>
      <w:r w:rsidR="0048262A" w:rsidRPr="001D071D">
        <w:rPr>
          <w:rFonts w:asciiTheme="majorHAnsi" w:hAnsiTheme="majorHAnsi" w:cstheme="majorBidi"/>
          <w:i/>
          <w:iCs/>
          <w:color w:val="auto"/>
        </w:rPr>
        <w:t>beyond</w:t>
      </w:r>
      <w:r w:rsidR="0048262A" w:rsidRPr="19A0F1C5">
        <w:rPr>
          <w:rFonts w:asciiTheme="majorHAnsi" w:hAnsiTheme="majorHAnsi" w:cstheme="majorBidi"/>
          <w:color w:val="auto"/>
        </w:rPr>
        <w:t xml:space="preserve"> the standard </w:t>
      </w:r>
      <w:r w:rsidR="00A00541">
        <w:rPr>
          <w:rFonts w:asciiTheme="majorHAnsi" w:hAnsiTheme="majorHAnsi" w:cstheme="majorBidi"/>
          <w:color w:val="auto"/>
        </w:rPr>
        <w:t>manual</w:t>
      </w:r>
      <w:r w:rsidR="00A00541" w:rsidRPr="19A0F1C5">
        <w:rPr>
          <w:rFonts w:asciiTheme="majorHAnsi" w:hAnsiTheme="majorHAnsi" w:cstheme="majorBidi"/>
          <w:color w:val="auto"/>
        </w:rPr>
        <w:t xml:space="preserve"> </w:t>
      </w:r>
      <w:r w:rsidR="0048262A" w:rsidRPr="19A0F1C5">
        <w:rPr>
          <w:rFonts w:asciiTheme="majorHAnsi" w:hAnsiTheme="majorHAnsi" w:cstheme="majorBidi"/>
          <w:color w:val="auto"/>
        </w:rPr>
        <w:t>method</w:t>
      </w:r>
      <w:r w:rsidR="00A00541">
        <w:rPr>
          <w:rFonts w:asciiTheme="majorHAnsi" w:hAnsiTheme="majorHAnsi" w:cstheme="majorBidi"/>
          <w:color w:val="auto"/>
        </w:rPr>
        <w:t xml:space="preserve"> for managing the</w:t>
      </w:r>
      <w:r w:rsidR="00AC33C8" w:rsidRPr="19A0F1C5">
        <w:rPr>
          <w:rFonts w:asciiTheme="majorHAnsi" w:hAnsiTheme="majorHAnsi" w:cstheme="majorBidi"/>
          <w:color w:val="auto"/>
        </w:rPr>
        <w:t xml:space="preserve"> land use allocation process</w:t>
      </w:r>
      <w:r w:rsidR="00A00541">
        <w:rPr>
          <w:rFonts w:asciiTheme="majorHAnsi" w:hAnsiTheme="majorHAnsi" w:cstheme="majorBidi"/>
          <w:color w:val="auto"/>
        </w:rPr>
        <w:t xml:space="preserve"> during “action” scenario preparation:</w:t>
      </w:r>
      <w:r w:rsidR="00AC33C8" w:rsidRPr="19A0F1C5">
        <w:rPr>
          <w:rFonts w:asciiTheme="majorHAnsi" w:hAnsiTheme="majorHAnsi" w:cstheme="majorBidi"/>
          <w:color w:val="auto"/>
        </w:rPr>
        <w:t xml:space="preserve"> </w:t>
      </w:r>
    </w:p>
    <w:p w14:paraId="11A3C44F" w14:textId="468BC97D" w:rsidR="002A62B3" w:rsidRPr="00194B24" w:rsidRDefault="002A62B3" w:rsidP="19A0F1C5">
      <w:pPr>
        <w:pStyle w:val="BodyParagraph"/>
        <w:numPr>
          <w:ilvl w:val="4"/>
          <w:numId w:val="25"/>
        </w:numPr>
        <w:rPr>
          <w:rFonts w:asciiTheme="majorHAnsi" w:hAnsiTheme="majorHAnsi" w:cstheme="majorBidi"/>
          <w:color w:val="auto"/>
        </w:rPr>
      </w:pPr>
      <w:r w:rsidRPr="19A0F1C5">
        <w:rPr>
          <w:rFonts w:asciiTheme="majorHAnsi" w:hAnsiTheme="majorHAnsi" w:cstheme="majorBidi"/>
          <w:color w:val="auto"/>
        </w:rPr>
        <w:t>User assigns general plan designations </w:t>
      </w:r>
      <w:r w:rsidR="00F11C10" w:rsidRPr="19A0F1C5">
        <w:rPr>
          <w:rFonts w:asciiTheme="majorHAnsi" w:hAnsiTheme="majorHAnsi" w:cstheme="majorBidi"/>
          <w:color w:val="auto"/>
        </w:rPr>
        <w:t xml:space="preserve">using </w:t>
      </w:r>
      <w:r w:rsidRPr="19A0F1C5">
        <w:rPr>
          <w:rFonts w:asciiTheme="majorHAnsi" w:hAnsiTheme="majorHAnsi" w:cstheme="majorBidi"/>
          <w:color w:val="auto"/>
        </w:rPr>
        <w:t>land use types</w:t>
      </w:r>
      <w:r w:rsidR="00F11C10" w:rsidRPr="19A0F1C5">
        <w:rPr>
          <w:rFonts w:asciiTheme="majorHAnsi" w:hAnsiTheme="majorHAnsi" w:cstheme="majorBidi"/>
          <w:color w:val="auto"/>
        </w:rPr>
        <w:t xml:space="preserve"> or place types </w:t>
      </w:r>
      <w:r w:rsidRPr="19A0F1C5">
        <w:rPr>
          <w:rFonts w:asciiTheme="majorHAnsi" w:hAnsiTheme="majorHAnsi" w:cstheme="majorBidi"/>
          <w:color w:val="auto"/>
        </w:rPr>
        <w:t xml:space="preserve">to </w:t>
      </w:r>
      <w:proofErr w:type="spellStart"/>
      <w:r w:rsidR="00A00541">
        <w:rPr>
          <w:rFonts w:asciiTheme="majorHAnsi" w:hAnsiTheme="majorHAnsi" w:cstheme="majorBidi"/>
          <w:color w:val="auto"/>
        </w:rPr>
        <w:t>VisionEval</w:t>
      </w:r>
      <w:proofErr w:type="spellEnd"/>
      <w:r w:rsidR="00A00541">
        <w:rPr>
          <w:rFonts w:asciiTheme="majorHAnsi" w:hAnsiTheme="majorHAnsi" w:cstheme="majorBidi"/>
          <w:color w:val="auto"/>
        </w:rPr>
        <w:t xml:space="preserve"> </w:t>
      </w:r>
      <w:proofErr w:type="spellStart"/>
      <w:r w:rsidRPr="19A0F1C5">
        <w:rPr>
          <w:rFonts w:asciiTheme="majorHAnsi" w:hAnsiTheme="majorHAnsi" w:cstheme="majorBidi"/>
          <w:color w:val="auto"/>
        </w:rPr>
        <w:t>Bzones</w:t>
      </w:r>
      <w:proofErr w:type="spellEnd"/>
      <w:r w:rsidR="00F11C10" w:rsidRPr="19A0F1C5">
        <w:rPr>
          <w:rFonts w:asciiTheme="majorHAnsi" w:hAnsiTheme="majorHAnsi" w:cstheme="majorBidi"/>
          <w:color w:val="auto"/>
        </w:rPr>
        <w:t xml:space="preserve">. Then a subroutine model </w:t>
      </w:r>
      <w:r w:rsidRPr="19A0F1C5">
        <w:rPr>
          <w:rFonts w:asciiTheme="majorHAnsi" w:hAnsiTheme="majorHAnsi" w:cstheme="majorBidi"/>
          <w:color w:val="auto"/>
        </w:rPr>
        <w:t>allocate</w:t>
      </w:r>
      <w:r w:rsidR="00F11C10" w:rsidRPr="19A0F1C5">
        <w:rPr>
          <w:rFonts w:asciiTheme="majorHAnsi" w:hAnsiTheme="majorHAnsi" w:cstheme="majorBidi"/>
          <w:color w:val="auto"/>
        </w:rPr>
        <w:t>s</w:t>
      </w:r>
      <w:r w:rsidRPr="19A0F1C5">
        <w:rPr>
          <w:rFonts w:asciiTheme="majorHAnsi" w:hAnsiTheme="majorHAnsi" w:cstheme="majorBidi"/>
          <w:color w:val="auto"/>
        </w:rPr>
        <w:t xml:space="preserve"> jobs and housing to </w:t>
      </w:r>
      <w:proofErr w:type="spellStart"/>
      <w:r w:rsidRPr="19A0F1C5">
        <w:rPr>
          <w:rFonts w:asciiTheme="majorHAnsi" w:hAnsiTheme="majorHAnsi" w:cstheme="majorBidi"/>
          <w:color w:val="auto"/>
        </w:rPr>
        <w:t>Bzones</w:t>
      </w:r>
      <w:proofErr w:type="spellEnd"/>
      <w:r w:rsidR="006C365D">
        <w:rPr>
          <w:rFonts w:asciiTheme="majorHAnsi" w:hAnsiTheme="majorHAnsi" w:cstheme="majorBidi"/>
          <w:color w:val="auto"/>
        </w:rPr>
        <w:t xml:space="preserve"> </w:t>
      </w:r>
      <w:r w:rsidR="006C365D">
        <w:rPr>
          <w:rFonts w:asciiTheme="majorHAnsi" w:hAnsiTheme="majorHAnsi" w:cstheme="majorBidi"/>
          <w:color w:val="auto"/>
        </w:rPr>
        <w:lastRenderedPageBreak/>
        <w:t>using the typology as an attractiveness factor</w:t>
      </w:r>
      <w:r w:rsidR="005B7679" w:rsidRPr="19A0F1C5">
        <w:rPr>
          <w:rFonts w:asciiTheme="majorHAnsi" w:hAnsiTheme="majorHAnsi" w:cstheme="majorBidi"/>
          <w:color w:val="auto"/>
        </w:rPr>
        <w:t>. This</w:t>
      </w:r>
      <w:r w:rsidR="006C365D">
        <w:rPr>
          <w:rFonts w:asciiTheme="majorHAnsi" w:hAnsiTheme="majorHAnsi" w:cstheme="majorBidi"/>
          <w:color w:val="auto"/>
        </w:rPr>
        <w:t xml:space="preserve"> gives the user a </w:t>
      </w:r>
      <w:r w:rsidR="00573E0A" w:rsidRPr="19A0F1C5">
        <w:rPr>
          <w:rFonts w:asciiTheme="majorHAnsi" w:hAnsiTheme="majorHAnsi" w:cstheme="majorBidi"/>
          <w:color w:val="auto"/>
        </w:rPr>
        <w:t>moderate</w:t>
      </w:r>
      <w:r w:rsidR="00194B24" w:rsidRPr="19A0F1C5">
        <w:rPr>
          <w:rFonts w:asciiTheme="majorHAnsi" w:hAnsiTheme="majorHAnsi" w:cstheme="majorBidi"/>
          <w:color w:val="auto"/>
        </w:rPr>
        <w:t xml:space="preserve"> level of zonal level control</w:t>
      </w:r>
      <w:r w:rsidR="00573E0A">
        <w:rPr>
          <w:rFonts w:asciiTheme="majorHAnsi" w:hAnsiTheme="majorHAnsi" w:cstheme="majorBidi"/>
          <w:color w:val="auto"/>
        </w:rPr>
        <w:t>.</w:t>
      </w:r>
    </w:p>
    <w:p w14:paraId="749E5E62" w14:textId="470F2831" w:rsidR="009501E6" w:rsidRPr="00194B24" w:rsidRDefault="006731F4" w:rsidP="009501E6">
      <w:pPr>
        <w:pStyle w:val="BodyParagraph"/>
        <w:numPr>
          <w:ilvl w:val="4"/>
          <w:numId w:val="25"/>
        </w:numPr>
      </w:pPr>
      <w:r w:rsidRPr="19A0F1C5">
        <w:rPr>
          <w:rFonts w:asciiTheme="majorHAnsi" w:hAnsiTheme="majorHAnsi" w:cstheme="majorBidi"/>
          <w:color w:val="auto"/>
        </w:rPr>
        <w:t xml:space="preserve">User specifies land use policies that </w:t>
      </w:r>
      <w:r w:rsidR="00573E0A">
        <w:rPr>
          <w:rFonts w:asciiTheme="majorHAnsi" w:hAnsiTheme="majorHAnsi" w:cstheme="majorBidi"/>
          <w:color w:val="auto"/>
        </w:rPr>
        <w:t xml:space="preserve">the </w:t>
      </w:r>
      <w:r w:rsidRPr="19A0F1C5">
        <w:rPr>
          <w:rFonts w:asciiTheme="majorHAnsi" w:hAnsiTheme="majorHAnsi" w:cstheme="majorBidi"/>
          <w:color w:val="auto"/>
        </w:rPr>
        <w:t xml:space="preserve">model </w:t>
      </w:r>
      <w:r w:rsidR="00573E0A">
        <w:rPr>
          <w:rFonts w:asciiTheme="majorHAnsi" w:hAnsiTheme="majorHAnsi" w:cstheme="majorBidi"/>
          <w:color w:val="auto"/>
        </w:rPr>
        <w:t xml:space="preserve">itself </w:t>
      </w:r>
      <w:r w:rsidRPr="19A0F1C5">
        <w:rPr>
          <w:rFonts w:asciiTheme="majorHAnsi" w:hAnsiTheme="majorHAnsi" w:cstheme="majorBidi"/>
          <w:color w:val="auto"/>
        </w:rPr>
        <w:t>uses to assign land use types</w:t>
      </w:r>
      <w:r w:rsidR="00875C20">
        <w:rPr>
          <w:rFonts w:asciiTheme="majorHAnsi" w:hAnsiTheme="majorHAnsi" w:cstheme="majorBidi"/>
          <w:color w:val="auto"/>
        </w:rPr>
        <w:t>, after which the model repeats the household and employment allocation by typology.</w:t>
      </w:r>
      <w:r w:rsidRPr="19A0F1C5">
        <w:rPr>
          <w:rFonts w:asciiTheme="majorHAnsi" w:hAnsiTheme="majorHAnsi" w:cstheme="majorBidi"/>
          <w:color w:val="auto"/>
        </w:rPr>
        <w:t xml:space="preserve"> </w:t>
      </w:r>
      <w:r w:rsidR="00875C20">
        <w:rPr>
          <w:rFonts w:asciiTheme="majorHAnsi" w:hAnsiTheme="majorHAnsi" w:cstheme="majorBidi"/>
          <w:color w:val="auto"/>
        </w:rPr>
        <w:t xml:space="preserve">This provides users </w:t>
      </w:r>
      <w:r w:rsidRPr="00194B24">
        <w:t xml:space="preserve">the least amount of </w:t>
      </w:r>
      <w:r w:rsidR="00875C20">
        <w:t xml:space="preserve">direct </w:t>
      </w:r>
      <w:r w:rsidR="00EA151E">
        <w:t xml:space="preserve">control </w:t>
      </w:r>
      <w:r w:rsidR="00875C20">
        <w:t>over</w:t>
      </w:r>
      <w:r w:rsidR="00875C20" w:rsidRPr="00194B24">
        <w:t xml:space="preserve"> </w:t>
      </w:r>
      <w:r w:rsidR="00194B24" w:rsidRPr="00194B24">
        <w:t>the final allocation</w:t>
      </w:r>
      <w:r w:rsidR="00875C20">
        <w:t xml:space="preserve"> with the advantage of needing to specify only policy inputs (which are equivalent to zoning).</w:t>
      </w:r>
    </w:p>
    <w:p w14:paraId="6AE7B990" w14:textId="42F07107" w:rsidR="002D34AB" w:rsidRDefault="40AB2017" w:rsidP="19A0F1C5">
      <w:pPr>
        <w:pStyle w:val="BodyParagraph"/>
        <w:numPr>
          <w:ilvl w:val="2"/>
          <w:numId w:val="25"/>
        </w:numPr>
      </w:pPr>
      <w:r>
        <w:t xml:space="preserve">Alternative pre-processors or other processes can be used to evaluate housing choice and land use options and then translate those options into the structure that </w:t>
      </w:r>
      <w:proofErr w:type="spellStart"/>
      <w:r>
        <w:t>VisionEval</w:t>
      </w:r>
      <w:proofErr w:type="spellEnd"/>
      <w:r>
        <w:t xml:space="preserve"> requires. </w:t>
      </w:r>
      <w:r w:rsidR="74A74E9D">
        <w:t xml:space="preserve">One possibility is the combination of a population synthesizer used for activity-based travel models </w:t>
      </w:r>
      <w:r w:rsidR="26D62E90">
        <w:t xml:space="preserve">(ABMS) </w:t>
      </w:r>
      <w:r w:rsidR="74A74E9D">
        <w:t xml:space="preserve">such as </w:t>
      </w:r>
      <w:proofErr w:type="spellStart"/>
      <w:r w:rsidR="74A74E9D">
        <w:t>F</w:t>
      </w:r>
      <w:r w:rsidR="3B9403C4">
        <w:t>resnoCOG’s</w:t>
      </w:r>
      <w:proofErr w:type="spellEnd"/>
      <w:r w:rsidR="3B9403C4">
        <w:t xml:space="preserve"> and a “</w:t>
      </w:r>
      <w:proofErr w:type="spellStart"/>
      <w:r w:rsidR="3B9403C4">
        <w:t>parcelizer</w:t>
      </w:r>
      <w:proofErr w:type="spellEnd"/>
      <w:r w:rsidR="3B9403C4">
        <w:t xml:space="preserve">” application RSG developed for ABM </w:t>
      </w:r>
      <w:r w:rsidR="44858D33">
        <w:t>applications needing land use scenario creation/manipulation.</w:t>
      </w:r>
      <w:r w:rsidR="3A0EF301">
        <w:t xml:space="preserve"> </w:t>
      </w:r>
      <w:r w:rsidR="00A300C5">
        <w:t>FresnoCOG already has some of these pieces given both agency staff and RSG prior work on the regional travel model</w:t>
      </w:r>
      <w:r w:rsidR="00FA023B">
        <w:t>; these tools could perhaps partly automate the “manual” approach described above.</w:t>
      </w:r>
    </w:p>
    <w:p w14:paraId="1DB1AE3C" w14:textId="7A31060F" w:rsidR="44858D33" w:rsidRDefault="44858D33" w:rsidP="19A0F1C5">
      <w:pPr>
        <w:pStyle w:val="BodyParagraph"/>
        <w:numPr>
          <w:ilvl w:val="2"/>
          <w:numId w:val="25"/>
        </w:numPr>
      </w:pPr>
      <w:r>
        <w:t xml:space="preserve">RSG </w:t>
      </w:r>
      <w:r w:rsidR="00273B8F">
        <w:t>will work with</w:t>
      </w:r>
      <w:r>
        <w:t xml:space="preserve"> FresnoCOG </w:t>
      </w:r>
      <w:r w:rsidR="00A0433F">
        <w:t xml:space="preserve">staff </w:t>
      </w:r>
      <w:r w:rsidR="00FA023B">
        <w:t xml:space="preserve">early in the project </w:t>
      </w:r>
      <w:r>
        <w:t xml:space="preserve">to </w:t>
      </w:r>
      <w:r w:rsidR="00A0433F">
        <w:t xml:space="preserve">assess these options and </w:t>
      </w:r>
      <w:r>
        <w:t>choose the best toolkit</w:t>
      </w:r>
      <w:r w:rsidR="00A0433F">
        <w:t xml:space="preserve">. </w:t>
      </w:r>
      <w:r w:rsidR="005108CB">
        <w:t xml:space="preserve">Criteria should </w:t>
      </w:r>
      <w:r w:rsidR="00030AAC">
        <w:t>include scalability</w:t>
      </w:r>
      <w:r>
        <w:t xml:space="preserve"> (ability to cover the SJV geographic and population size), data availability </w:t>
      </w:r>
      <w:r w:rsidR="7520A50D">
        <w:t xml:space="preserve">(the presence and consistency of future baseline land uses from the various </w:t>
      </w:r>
      <w:r w:rsidR="005108CB">
        <w:t>participants and Census sources</w:t>
      </w:r>
      <w:r w:rsidR="7520A50D">
        <w:t xml:space="preserve">), and usability (capability of the tool to create the necessary scenarios </w:t>
      </w:r>
      <w:r w:rsidR="102A3ABB">
        <w:t>quickly and at sufficient quality).</w:t>
      </w:r>
      <w:r w:rsidR="002111C4">
        <w:t xml:space="preserve"> </w:t>
      </w:r>
      <w:r w:rsidR="005108CB">
        <w:t>RSG</w:t>
      </w:r>
      <w:r w:rsidR="002111C4">
        <w:t xml:space="preserve"> anticipate</w:t>
      </w:r>
      <w:r w:rsidR="005108CB">
        <w:t>s</w:t>
      </w:r>
      <w:r w:rsidR="002111C4">
        <w:t xml:space="preserve"> that the </w:t>
      </w:r>
      <w:proofErr w:type="spellStart"/>
      <w:r w:rsidR="002111C4">
        <w:t>VisionEval</w:t>
      </w:r>
      <w:proofErr w:type="spellEnd"/>
      <w:r w:rsidR="002111C4">
        <w:t xml:space="preserve"> module</w:t>
      </w:r>
      <w:r w:rsidR="005108CB">
        <w:t>s</w:t>
      </w:r>
      <w:r w:rsidR="002111C4">
        <w:t xml:space="preserve"> enhanced by Portland State will provide</w:t>
      </w:r>
      <w:r w:rsidR="005108CB">
        <w:t xml:space="preserve"> reasonable performance with</w:t>
      </w:r>
      <w:r w:rsidR="002111C4">
        <w:t xml:space="preserve"> a level of confidence in the various land use permutations </w:t>
      </w:r>
      <w:r w:rsidR="006D1DB1">
        <w:t xml:space="preserve">while </w:t>
      </w:r>
      <w:r w:rsidR="002111C4">
        <w:t>also fit</w:t>
      </w:r>
      <w:r w:rsidR="006D1DB1">
        <w:t>ting</w:t>
      </w:r>
      <w:r w:rsidR="002111C4">
        <w:t xml:space="preserve"> within the time and budget constraints.</w:t>
      </w:r>
    </w:p>
    <w:p w14:paraId="5855585D" w14:textId="38CD6D5E" w:rsidR="00C138A9" w:rsidRDefault="00C138A9" w:rsidP="00C138A9">
      <w:pPr>
        <w:pStyle w:val="BodyParagraph"/>
        <w:numPr>
          <w:ilvl w:val="0"/>
          <w:numId w:val="27"/>
        </w:numPr>
      </w:pPr>
      <w:r w:rsidRPr="00A70F5F">
        <w:rPr>
          <w:b/>
          <w:bCs/>
        </w:rPr>
        <w:t>Develop base</w:t>
      </w:r>
      <w:r w:rsidR="00455E61">
        <w:rPr>
          <w:b/>
          <w:bCs/>
        </w:rPr>
        <w:t>line</w:t>
      </w:r>
      <w:r w:rsidRPr="00A70F5F">
        <w:rPr>
          <w:b/>
          <w:bCs/>
        </w:rPr>
        <w:t xml:space="preserve"> model</w:t>
      </w:r>
      <w:r w:rsidR="00657873">
        <w:rPr>
          <w:b/>
          <w:bCs/>
        </w:rPr>
        <w:t>s</w:t>
      </w:r>
      <w:r w:rsidRPr="00A70F5F">
        <w:rPr>
          <w:b/>
          <w:bCs/>
        </w:rPr>
        <w:t>:</w:t>
      </w:r>
      <w:r w:rsidRPr="00A70F5F">
        <w:t xml:space="preserve"> </w:t>
      </w:r>
      <w:r w:rsidR="00455E61">
        <w:t xml:space="preserve">RSG proposes to set the </w:t>
      </w:r>
      <w:proofErr w:type="spellStart"/>
      <w:r>
        <w:t>base</w:t>
      </w:r>
      <w:r w:rsidR="00455E61">
        <w:t>year</w:t>
      </w:r>
      <w:proofErr w:type="spellEnd"/>
      <w:r w:rsidR="00455E61">
        <w:t xml:space="preserve"> to</w:t>
      </w:r>
      <w:r>
        <w:t xml:space="preserve"> </w:t>
      </w:r>
      <w:r w:rsidR="00DB447D">
        <w:t>a</w:t>
      </w:r>
      <w:r>
        <w:t xml:space="preserve"> recent year for </w:t>
      </w:r>
      <w:r w:rsidR="00DB447D">
        <w:t xml:space="preserve">which needed Census data is available, giving the Valley MPOs a range of possible specific choices. </w:t>
      </w:r>
      <w:r w:rsidRPr="00A70F5F">
        <w:t xml:space="preserve">This task </w:t>
      </w:r>
      <w:r w:rsidR="00DB447D">
        <w:t>will</w:t>
      </w:r>
      <w:r w:rsidRPr="00A70F5F">
        <w:t xml:space="preserve"> establish one (1) base year</w:t>
      </w:r>
      <w:r w:rsidR="00DB447D">
        <w:t xml:space="preserve"> and one (1) future baseline (aka “future reference scenario”)</w:t>
      </w:r>
      <w:r w:rsidRPr="00A70F5F">
        <w:t xml:space="preserve"> </w:t>
      </w:r>
      <w:r w:rsidR="00DB447D">
        <w:t>to</w:t>
      </w:r>
      <w:r w:rsidRPr="00A70F5F">
        <w:t xml:space="preserve"> which all other </w:t>
      </w:r>
      <w:r w:rsidR="00657873">
        <w:t>scenarios</w:t>
      </w:r>
      <w:r w:rsidRPr="00A70F5F">
        <w:t xml:space="preserve"> </w:t>
      </w:r>
      <w:r w:rsidR="00657873">
        <w:t>can</w:t>
      </w:r>
      <w:r w:rsidRPr="00A70F5F">
        <w:t xml:space="preserve"> be compared</w:t>
      </w:r>
      <w:r w:rsidR="00DB447D">
        <w:t xml:space="preserve"> during application</w:t>
      </w:r>
      <w:r>
        <w:t xml:space="preserve">, </w:t>
      </w:r>
      <w:r w:rsidR="00DB447D">
        <w:t>e.g., to understand</w:t>
      </w:r>
      <w:r>
        <w:t xml:space="preserve"> changes in travel behavior, land use, and transportation emissions.</w:t>
      </w:r>
      <w:r w:rsidR="00BC35BB">
        <w:t xml:space="preserve"> The future reference </w:t>
      </w:r>
      <w:r w:rsidR="00DB447D">
        <w:t>inputs, as mentioned above, will come from the eight Valley MPOs</w:t>
      </w:r>
      <w:r w:rsidR="00675305">
        <w:t xml:space="preserve">. </w:t>
      </w:r>
      <w:r w:rsidR="00DB447D">
        <w:t>RSG assumes that the future reference will represent, collectively, the adopted MTPs and supporting land uses from the MPOs.</w:t>
      </w:r>
      <w:r w:rsidR="00675305">
        <w:t xml:space="preserve"> </w:t>
      </w:r>
    </w:p>
    <w:p w14:paraId="5D2BC080" w14:textId="14981AC7" w:rsidR="00C138A9" w:rsidRPr="00A70F5F" w:rsidRDefault="00C138A9" w:rsidP="00C138A9">
      <w:pPr>
        <w:pStyle w:val="BodyParagraph"/>
        <w:numPr>
          <w:ilvl w:val="0"/>
          <w:numId w:val="28"/>
        </w:numPr>
      </w:pPr>
      <w:r w:rsidRPr="6CF6DA0C">
        <w:rPr>
          <w:b/>
          <w:bCs/>
        </w:rPr>
        <w:t>Calibration, Validation, and Sensitivity Testing:</w:t>
      </w:r>
      <w:r>
        <w:t xml:space="preserve"> No model is ever a perfect representation of travel behavior. However, </w:t>
      </w:r>
      <w:r w:rsidR="007F3804">
        <w:t>a</w:t>
      </w:r>
      <w:r>
        <w:t xml:space="preserve"> model should adequately reflect current </w:t>
      </w:r>
      <w:r>
        <w:lastRenderedPageBreak/>
        <w:t xml:space="preserve">conditions to reliably estimate outcomes of interest with sufficient sensitivity to input dimensions. Calibration includes the effort to </w:t>
      </w:r>
      <w:r w:rsidR="007F3804">
        <w:t xml:space="preserve">accurately </w:t>
      </w:r>
      <w:r>
        <w:t xml:space="preserve">represent </w:t>
      </w:r>
      <w:r w:rsidR="007F3804">
        <w:t xml:space="preserve">the </w:t>
      </w:r>
      <w:proofErr w:type="spellStart"/>
      <w:r w:rsidR="007F3804">
        <w:t>base</w:t>
      </w:r>
      <w:r>
        <w:t>year</w:t>
      </w:r>
      <w:proofErr w:type="spellEnd"/>
      <w:r>
        <w:t xml:space="preserve">. </w:t>
      </w:r>
      <w:proofErr w:type="spellStart"/>
      <w:r>
        <w:t>VisionEval</w:t>
      </w:r>
      <w:proofErr w:type="spellEnd"/>
      <w:r>
        <w:t xml:space="preserve"> </w:t>
      </w:r>
      <w:r w:rsidR="00E47518">
        <w:t>was</w:t>
      </w:r>
      <w:r>
        <w:t xml:space="preserve"> estimated from readily available national data such as the National Household Travel Survey (NHTS) and the ACS. On the validation side, several outputs from the </w:t>
      </w:r>
      <w:proofErr w:type="spellStart"/>
      <w:r>
        <w:t>VisionEval</w:t>
      </w:r>
      <w:proofErr w:type="spellEnd"/>
      <w:r>
        <w:t xml:space="preserve"> model </w:t>
      </w:r>
      <w:r w:rsidR="00E47518">
        <w:t>will</w:t>
      </w:r>
      <w:r>
        <w:t xml:space="preserve"> be compared to empirical data</w:t>
      </w:r>
      <w:r w:rsidR="00E47518">
        <w:t xml:space="preserve"> (typically BTS LATCH)</w:t>
      </w:r>
      <w:r>
        <w:t xml:space="preserve">. Validation </w:t>
      </w:r>
      <w:r w:rsidR="00564462">
        <w:t>shows</w:t>
      </w:r>
      <w:r>
        <w:t xml:space="preserve"> how the model does to reflect other historical years. Sensitivity testing </w:t>
      </w:r>
      <w:r w:rsidR="00564462">
        <w:t>illustrates the model’s responsiveness to</w:t>
      </w:r>
      <w:r>
        <w:t xml:space="preserve"> changing specific input dimensions </w:t>
      </w:r>
      <w:r w:rsidR="0077011E">
        <w:t>by</w:t>
      </w:r>
      <w:r>
        <w:t xml:space="preserve"> identifying the resulting changes in outputs.</w:t>
      </w:r>
      <w:r w:rsidR="00442D23">
        <w:t xml:space="preserve"> Typically</w:t>
      </w:r>
      <w:r w:rsidR="002111C4">
        <w:t>,</w:t>
      </w:r>
      <w:r w:rsidR="00442D23">
        <w:t xml:space="preserve"> </w:t>
      </w:r>
      <w:r w:rsidR="00D8302E">
        <w:t xml:space="preserve">RSG </w:t>
      </w:r>
      <w:r w:rsidR="00442D23">
        <w:t>test</w:t>
      </w:r>
      <w:r w:rsidR="00D8302E">
        <w:t>s</w:t>
      </w:r>
      <w:r w:rsidR="00442D23">
        <w:t xml:space="preserve"> 25% changes in </w:t>
      </w:r>
      <w:r w:rsidR="002111C4">
        <w:t>several</w:t>
      </w:r>
      <w:r w:rsidR="00442D23">
        <w:t xml:space="preserve"> inputs (i.e., transit supply, roadway miles, fuel prices</w:t>
      </w:r>
      <w:r w:rsidR="008C086E">
        <w:t xml:space="preserve">) </w:t>
      </w:r>
      <w:r w:rsidR="00442D23">
        <w:t xml:space="preserve">to explore </w:t>
      </w:r>
      <w:r w:rsidR="00B01BC9">
        <w:t xml:space="preserve">elasticities </w:t>
      </w:r>
      <w:r w:rsidR="0077011E">
        <w:t xml:space="preserve">in the </w:t>
      </w:r>
      <w:r w:rsidR="00442D23">
        <w:t xml:space="preserve">changes </w:t>
      </w:r>
      <w:r w:rsidR="00B01BC9">
        <w:t>of selected</w:t>
      </w:r>
      <w:r w:rsidR="00442D23">
        <w:t xml:space="preserve"> outputs. </w:t>
      </w:r>
      <w:r w:rsidR="008040F3">
        <w:t>RSG will work with FresnoCOG to specify one Valley-wide sensitivity test scenario, run it, and visualize the results.</w:t>
      </w:r>
    </w:p>
    <w:p w14:paraId="6B627F23" w14:textId="5B4FBA93" w:rsidR="00C138A9" w:rsidRPr="00A70F5F" w:rsidRDefault="00542CA7" w:rsidP="00C138A9">
      <w:pPr>
        <w:pStyle w:val="BodyParagraph"/>
        <w:numPr>
          <w:ilvl w:val="0"/>
          <w:numId w:val="30"/>
        </w:numPr>
      </w:pPr>
      <w:proofErr w:type="spellStart"/>
      <w:r>
        <w:rPr>
          <w:b/>
          <w:bCs/>
        </w:rPr>
        <w:t>Multiscenario</w:t>
      </w:r>
      <w:proofErr w:type="spellEnd"/>
      <w:r>
        <w:rPr>
          <w:b/>
          <w:bCs/>
        </w:rPr>
        <w:t xml:space="preserve"> analysis and interpretation</w:t>
      </w:r>
      <w:r w:rsidR="00C138A9" w:rsidRPr="00C64A29">
        <w:rPr>
          <w:b/>
        </w:rPr>
        <w:t>:</w:t>
      </w:r>
      <w:r w:rsidR="00C138A9" w:rsidRPr="00A70F5F">
        <w:t xml:space="preserve"> </w:t>
      </w:r>
      <w:r w:rsidR="003B2C32">
        <w:t>E</w:t>
      </w:r>
      <w:r w:rsidR="00C138A9" w:rsidRPr="00A70F5F">
        <w:t>valuati</w:t>
      </w:r>
      <w:r w:rsidR="003B2C32">
        <w:t xml:space="preserve">ng </w:t>
      </w:r>
      <w:proofErr w:type="spellStart"/>
      <w:r w:rsidR="003B2C32">
        <w:t>VisionEval</w:t>
      </w:r>
      <w:proofErr w:type="spellEnd"/>
      <w:r w:rsidR="003B2C32">
        <w:t xml:space="preserve"> </w:t>
      </w:r>
      <w:r w:rsidR="00C138A9" w:rsidRPr="00A70F5F">
        <w:t xml:space="preserve">results uses both tabular and </w:t>
      </w:r>
      <w:r w:rsidR="00382394">
        <w:t>graphical</w:t>
      </w:r>
      <w:r w:rsidR="00C138A9" w:rsidRPr="00A70F5F">
        <w:t xml:space="preserve"> methods to summarize and present the </w:t>
      </w:r>
      <w:r w:rsidR="003B2C32">
        <w:t>forecast</w:t>
      </w:r>
      <w:r w:rsidR="003B2C32" w:rsidRPr="00A70F5F">
        <w:t xml:space="preserve"> </w:t>
      </w:r>
      <w:r w:rsidR="00C138A9" w:rsidRPr="00A70F5F">
        <w:t xml:space="preserve">outcomes. </w:t>
      </w:r>
      <w:r w:rsidR="00021E64">
        <w:t xml:space="preserve">A </w:t>
      </w:r>
      <w:r w:rsidR="00C138A9" w:rsidRPr="00A70F5F">
        <w:t>primar</w:t>
      </w:r>
      <w:r w:rsidR="00021E64">
        <w:t>y objective will be to</w:t>
      </w:r>
      <w:r w:rsidR="00C138A9" w:rsidRPr="00A70F5F">
        <w:t xml:space="preserve"> </w:t>
      </w:r>
      <w:r w:rsidR="00EA18F5">
        <w:t>enable Valley MPO staff to</w:t>
      </w:r>
      <w:r w:rsidR="00194632">
        <w:t xml:space="preserve"> use VE in its exploratory, </w:t>
      </w:r>
      <w:proofErr w:type="spellStart"/>
      <w:r w:rsidR="00194632">
        <w:t>Multiscenario</w:t>
      </w:r>
      <w:proofErr w:type="spellEnd"/>
      <w:r w:rsidR="00194632">
        <w:t xml:space="preserve"> mode to</w:t>
      </w:r>
      <w:r w:rsidR="00EA18F5">
        <w:t xml:space="preserve"> </w:t>
      </w:r>
      <w:r w:rsidR="00C138A9" w:rsidRPr="00A70F5F">
        <w:t xml:space="preserve">identify key relationships between specific inputs and </w:t>
      </w:r>
      <w:r w:rsidR="00021E64">
        <w:t>desired outcomes</w:t>
      </w:r>
      <w:r w:rsidR="00C138A9" w:rsidRPr="00A70F5F">
        <w:t xml:space="preserve">. </w:t>
      </w:r>
      <w:r w:rsidR="003076AC">
        <w:t xml:space="preserve">This will allow Valley decision makers to make policy choices </w:t>
      </w:r>
      <w:r w:rsidR="00030AAC">
        <w:t>with</w:t>
      </w:r>
      <w:r w:rsidR="003076AC">
        <w:t xml:space="preserve"> confidence</w:t>
      </w:r>
      <w:r w:rsidR="00EA18F5">
        <w:t>.</w:t>
      </w:r>
      <w:r w:rsidR="00C138A9" w:rsidRPr="00A70F5F">
        <w:t> </w:t>
      </w:r>
    </w:p>
    <w:p w14:paraId="15563D94" w14:textId="00B42C4A" w:rsidR="00E53768" w:rsidRDefault="1F292E3D" w:rsidP="002C23A0">
      <w:pPr>
        <w:pStyle w:val="BodyParagraph"/>
        <w:numPr>
          <w:ilvl w:val="0"/>
          <w:numId w:val="31"/>
        </w:numPr>
      </w:pPr>
      <w:r w:rsidRPr="1F292E3D">
        <w:rPr>
          <w:b/>
          <w:bCs/>
        </w:rPr>
        <w:t>Visualization:</w:t>
      </w:r>
      <w:r>
        <w:t xml:space="preserve"> An interactive visualizer will be provided to communicate model results both spatially as well as in tables and charts. </w:t>
      </w:r>
      <w:proofErr w:type="spellStart"/>
      <w:r>
        <w:t>VisionEval</w:t>
      </w:r>
      <w:proofErr w:type="spellEnd"/>
      <w:r>
        <w:t xml:space="preserve"> summarizes data at the household level which can be aggregated to sub-Valley geographies, Counties, and the entire modeled region. The synthetic population can also be used to summarize and visualize data across certain sub-populations such as income groups, rural/urban locations, age groups, household groups by vehicles owned, etc. RSG can provide different types of visualization platforms--open source </w:t>
      </w:r>
      <w:proofErr w:type="spellStart"/>
      <w:r>
        <w:t>rShiny</w:t>
      </w:r>
      <w:proofErr w:type="spellEnd"/>
      <w:r>
        <w:t xml:space="preserve"> tools, </w:t>
      </w:r>
      <w:proofErr w:type="spellStart"/>
      <w:r>
        <w:t>PowerBI</w:t>
      </w:r>
      <w:proofErr w:type="spellEnd"/>
      <w:r>
        <w:t xml:space="preserve"> and Tableau are options—and RSG will assist FresnoCOG in understanding which platform will best serve. After choosing the platform, the RSG team will produce and maintain (until the end of the contract) a visualizer for summarizing inputs and outputs (note that RSG recommends a Shiny application). A beta version of a visualization can be found at </w:t>
      </w:r>
      <w:hyperlink r:id="rId24">
        <w:r w:rsidRPr="1F292E3D">
          <w:rPr>
            <w:rStyle w:val="Hyperlink"/>
            <w:color w:val="262626" w:themeColor="text2"/>
          </w:rPr>
          <w:t>https://rsginc.shinyapps.io/bmc_input/</w:t>
        </w:r>
      </w:hyperlink>
      <w:r>
        <w:t>and in the figure below.</w:t>
      </w:r>
    </w:p>
    <w:p w14:paraId="1D4FB4A6" w14:textId="76E39EF6" w:rsidR="001013A5" w:rsidRDefault="00D27760" w:rsidP="00E53768">
      <w:pPr>
        <w:pStyle w:val="BodyParagraph"/>
        <w:ind w:left="720"/>
      </w:pPr>
      <w:r w:rsidRPr="00D27760">
        <w:rPr>
          <w:noProof/>
        </w:rPr>
        <w:lastRenderedPageBreak/>
        <w:drawing>
          <wp:inline distT="0" distB="0" distL="0" distR="0" wp14:anchorId="2D83E49A" wp14:editId="3DB32C0A">
            <wp:extent cx="5037826" cy="3673415"/>
            <wp:effectExtent l="152400" t="152400" r="353695" b="365760"/>
            <wp:docPr id="1021976825" name="Picture 1" descr="A map with 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76825" name="Picture 1" descr="A map with red squares&#10;&#10;AI-generated content may be incorrect."/>
                    <pic:cNvPicPr/>
                  </pic:nvPicPr>
                  <pic:blipFill>
                    <a:blip r:embed="rId25"/>
                    <a:stretch>
                      <a:fillRect/>
                    </a:stretch>
                  </pic:blipFill>
                  <pic:spPr>
                    <a:xfrm>
                      <a:off x="0" y="0"/>
                      <a:ext cx="5039008" cy="3674277"/>
                    </a:xfrm>
                    <a:prstGeom prst="rect">
                      <a:avLst/>
                    </a:prstGeom>
                    <a:ln>
                      <a:noFill/>
                    </a:ln>
                    <a:effectLst>
                      <a:outerShdw blurRad="292100" dist="139700" dir="2700000" algn="tl" rotWithShape="0">
                        <a:srgbClr val="333333">
                          <a:alpha val="65000"/>
                        </a:srgbClr>
                      </a:outerShdw>
                    </a:effectLst>
                  </pic:spPr>
                </pic:pic>
              </a:graphicData>
            </a:graphic>
          </wp:inline>
        </w:drawing>
      </w:r>
    </w:p>
    <w:p w14:paraId="6C8DE39A" w14:textId="1D97958A" w:rsidR="00C138A9" w:rsidRDefault="00C138A9" w:rsidP="00C138A9">
      <w:pPr>
        <w:pStyle w:val="BodyParagraph"/>
        <w:numPr>
          <w:ilvl w:val="0"/>
          <w:numId w:val="32"/>
        </w:numPr>
      </w:pPr>
      <w:r w:rsidRPr="00A70F5F">
        <w:rPr>
          <w:b/>
          <w:bCs/>
        </w:rPr>
        <w:t>Documentation</w:t>
      </w:r>
      <w:r w:rsidR="00747D96">
        <w:rPr>
          <w:b/>
          <w:bCs/>
        </w:rPr>
        <w:t xml:space="preserve"> and Training</w:t>
      </w:r>
      <w:r w:rsidRPr="00A70F5F">
        <w:rPr>
          <w:b/>
          <w:bCs/>
        </w:rPr>
        <w:t>:</w:t>
      </w:r>
      <w:r w:rsidRPr="00A70F5F">
        <w:t xml:space="preserve"> </w:t>
      </w:r>
      <w:r w:rsidR="002C23A0">
        <w:t xml:space="preserve">For the </w:t>
      </w:r>
      <w:r w:rsidR="00073998">
        <w:t>final</w:t>
      </w:r>
      <w:r w:rsidR="002C23A0">
        <w:t xml:space="preserve"> task</w:t>
      </w:r>
      <w:r w:rsidR="00073998">
        <w:t>s</w:t>
      </w:r>
      <w:r w:rsidR="002C23A0">
        <w:t xml:space="preserve"> RSG will </w:t>
      </w:r>
      <w:r w:rsidRPr="00A70F5F">
        <w:t xml:space="preserve">document the process from model design </w:t>
      </w:r>
      <w:r w:rsidR="002C23A0">
        <w:t xml:space="preserve">through </w:t>
      </w:r>
      <w:r w:rsidRPr="00A70F5F">
        <w:t xml:space="preserve">input development, </w:t>
      </w:r>
      <w:r w:rsidR="00073998">
        <w:t xml:space="preserve">how to </w:t>
      </w:r>
      <w:r w:rsidR="00073998" w:rsidRPr="00A70F5F">
        <w:t xml:space="preserve">develop </w:t>
      </w:r>
      <w:r w:rsidRPr="00A70F5F">
        <w:t>scenario</w:t>
      </w:r>
      <w:r w:rsidR="00073998">
        <w:t>s</w:t>
      </w:r>
      <w:r w:rsidRPr="00A70F5F">
        <w:t xml:space="preserve">, and </w:t>
      </w:r>
      <w:r w:rsidR="00073998">
        <w:t>how to use the SJV VE model</w:t>
      </w:r>
      <w:r w:rsidRPr="00A70F5F">
        <w:t xml:space="preserve">. </w:t>
      </w:r>
      <w:r w:rsidR="00073998">
        <w:t>RSG</w:t>
      </w:r>
      <w:r w:rsidR="002C23A0">
        <w:t xml:space="preserve"> will also provide training for </w:t>
      </w:r>
      <w:r w:rsidR="0093423B">
        <w:t>Valley MPO</w:t>
      </w:r>
      <w:r w:rsidR="002C23A0">
        <w:t xml:space="preserve"> staff and</w:t>
      </w:r>
      <w:r w:rsidR="002C23A0" w:rsidRPr="00A70F5F">
        <w:t xml:space="preserve"> </w:t>
      </w:r>
      <w:r w:rsidRPr="00A70F5F">
        <w:t xml:space="preserve">transition model </w:t>
      </w:r>
      <w:r w:rsidR="002C23A0">
        <w:t xml:space="preserve">stewardship to </w:t>
      </w:r>
      <w:r w:rsidR="0093423B">
        <w:t>FresnoCOG</w:t>
      </w:r>
      <w:r w:rsidR="002C23A0">
        <w:t>.</w:t>
      </w:r>
      <w:r w:rsidR="002C23A0" w:rsidRPr="00A70F5F">
        <w:t xml:space="preserve"> </w:t>
      </w:r>
      <w:r w:rsidR="00776D65">
        <w:t xml:space="preserve">The training will describe how individual MPOs can use the County-wide model for local analysis. </w:t>
      </w:r>
      <w:r w:rsidR="002C23A0">
        <w:t xml:space="preserve">The documentation will be packaged as one draft and one final </w:t>
      </w:r>
      <w:r w:rsidR="00073998">
        <w:t>version</w:t>
      </w:r>
      <w:r w:rsidR="00AC3A74">
        <w:t xml:space="preserve"> </w:t>
      </w:r>
      <w:r w:rsidR="002C23A0">
        <w:t xml:space="preserve">(addressing one set of client comments on the draft). </w:t>
      </w:r>
      <w:r w:rsidR="00A83726">
        <w:t xml:space="preserve">It will include </w:t>
      </w:r>
      <w:r w:rsidR="00AC3A74">
        <w:t xml:space="preserve">a summary of the inputs for the base and future years, the </w:t>
      </w:r>
      <w:r w:rsidR="00A83726">
        <w:t xml:space="preserve">sensitivity </w:t>
      </w:r>
      <w:r w:rsidR="00AC3A74">
        <w:t xml:space="preserve">scenario design, and the results from the </w:t>
      </w:r>
      <w:r w:rsidR="00A83726">
        <w:t>validation and sensitivity test</w:t>
      </w:r>
      <w:r w:rsidR="00AC3A74">
        <w:t xml:space="preserve">. </w:t>
      </w:r>
      <w:r w:rsidR="00F33EF5">
        <w:t xml:space="preserve">While this material can be packaged in static PDF format, RSG </w:t>
      </w:r>
      <w:r w:rsidR="00B87A75">
        <w:t>assumes</w:t>
      </w:r>
      <w:r w:rsidR="00F33EF5">
        <w:t xml:space="preserve"> using an</w:t>
      </w:r>
      <w:r>
        <w:t xml:space="preserve"> online ‘wiki’ </w:t>
      </w:r>
      <w:r w:rsidR="00F33EF5">
        <w:t xml:space="preserve">for maximum accessibility and for easy maintenance </w:t>
      </w:r>
      <w:r>
        <w:t>(</w:t>
      </w:r>
      <w:r w:rsidR="00F33EF5">
        <w:t xml:space="preserve">see an </w:t>
      </w:r>
      <w:r>
        <w:t xml:space="preserve">example of using VE for climate modeling in Oregon </w:t>
      </w:r>
      <w:r w:rsidR="00F33EF5">
        <w:t>at</w:t>
      </w:r>
      <w:hyperlink r:id="rId26" w:history="1">
        <w:r w:rsidR="00F33EF5" w:rsidRPr="00F33EF5">
          <w:rPr>
            <w:rStyle w:val="Hyperlink"/>
          </w:rPr>
          <w:t>https://orscenplg.github.io/VEWiki/index.html</w:t>
        </w:r>
      </w:hyperlink>
      <w:r>
        <w:t>)</w:t>
      </w:r>
      <w:r w:rsidR="00F33EF5">
        <w:t>.</w:t>
      </w:r>
    </w:p>
    <w:p w14:paraId="56657F08" w14:textId="77777777" w:rsidR="005D7706" w:rsidRDefault="005D7706" w:rsidP="005D7706">
      <w:pPr>
        <w:pStyle w:val="BodyParagraph"/>
      </w:pPr>
    </w:p>
    <w:p w14:paraId="0B2BFC4D" w14:textId="4D62C52A" w:rsidR="005D7706" w:rsidRDefault="00343484" w:rsidP="00343484">
      <w:pPr>
        <w:pStyle w:val="Heading4"/>
      </w:pPr>
      <w:r>
        <w:t>Process Map</w:t>
      </w:r>
    </w:p>
    <w:p w14:paraId="62A57374" w14:textId="74D9B9CA" w:rsidR="00343484" w:rsidRDefault="00343484" w:rsidP="00343484">
      <w:pPr>
        <w:pStyle w:val="BodyParagraph"/>
      </w:pPr>
      <w:r>
        <w:t xml:space="preserve">The figure below shows </w:t>
      </w:r>
      <w:r w:rsidR="00411371">
        <w:t xml:space="preserve">the typical process for a </w:t>
      </w:r>
      <w:proofErr w:type="spellStart"/>
      <w:r w:rsidR="00411371">
        <w:t>VisionEval</w:t>
      </w:r>
      <w:proofErr w:type="spellEnd"/>
      <w:r w:rsidR="00411371">
        <w:t xml:space="preserve"> scenario evaluation. Initially, the core </w:t>
      </w:r>
      <w:proofErr w:type="spellStart"/>
      <w:r w:rsidR="00411371">
        <w:t>VisionEval</w:t>
      </w:r>
      <w:proofErr w:type="spellEnd"/>
      <w:r w:rsidR="00411371">
        <w:t xml:space="preserve"> model is designed to reflect historical base years and future reference years. </w:t>
      </w:r>
      <w:r w:rsidR="00411371">
        <w:lastRenderedPageBreak/>
        <w:t xml:space="preserve">The inputs are often provided from a regional travel model or other sources of data. </w:t>
      </w:r>
      <w:r w:rsidR="00425B3A">
        <w:t xml:space="preserve">A scenario analysis process considers a wide range of possible drivers of change that can alter </w:t>
      </w:r>
      <w:r w:rsidR="00BD263A">
        <w:t xml:space="preserve">travel behavior and land use in the region. The drivers of change then are combined to create a </w:t>
      </w:r>
      <w:r w:rsidR="00403023">
        <w:t>large domain of possible future</w:t>
      </w:r>
      <w:r w:rsidR="00793B10">
        <w:t>s</w:t>
      </w:r>
      <w:r w:rsidR="00403023">
        <w:t xml:space="preserve"> – called the Cone of Uncertainty. </w:t>
      </w:r>
    </w:p>
    <w:p w14:paraId="52787F64" w14:textId="5ECA402D" w:rsidR="00403023" w:rsidRDefault="00403023" w:rsidP="00343484">
      <w:pPr>
        <w:pStyle w:val="BodyParagraph"/>
      </w:pPr>
      <w:r>
        <w:t>By evaluating both inputs and outputs from the many hundreds of possible outcomes</w:t>
      </w:r>
      <w:r w:rsidR="00400BB9">
        <w:t xml:space="preserve"> a refined set of scenarios can emerge that may provide the region and any sub-regions, insight that they otherwise wouldn’t get from the application of the detailed, robust, yet time intensive </w:t>
      </w:r>
      <w:proofErr w:type="spellStart"/>
      <w:r w:rsidR="00400BB9">
        <w:t>Daysim</w:t>
      </w:r>
      <w:proofErr w:type="spellEnd"/>
      <w:r w:rsidR="00400BB9">
        <w:t xml:space="preserve"> regional travel model. </w:t>
      </w:r>
    </w:p>
    <w:p w14:paraId="2FF52A44" w14:textId="35279470" w:rsidR="00F449BA" w:rsidRDefault="00F449BA" w:rsidP="00343484">
      <w:pPr>
        <w:pStyle w:val="BodyParagraph"/>
      </w:pPr>
      <w:r>
        <w:t>Starting with a common socio-</w:t>
      </w:r>
      <w:r w:rsidR="00787822">
        <w:t>economic</w:t>
      </w:r>
      <w:r>
        <w:t xml:space="preserve"> basis</w:t>
      </w:r>
      <w:r w:rsidR="00DB50F6">
        <w:t xml:space="preserve"> by</w:t>
      </w:r>
      <w:r>
        <w:t xml:space="preserve"> using the same </w:t>
      </w:r>
      <w:r w:rsidR="00793B10">
        <w:t>s</w:t>
      </w:r>
      <w:r w:rsidR="00787822">
        <w:t>ynthetic</w:t>
      </w:r>
      <w:r>
        <w:t xml:space="preserve"> </w:t>
      </w:r>
      <w:r w:rsidR="00793B10">
        <w:t>p</w:t>
      </w:r>
      <w:r>
        <w:t>opulation</w:t>
      </w:r>
      <w:r w:rsidR="00DB50F6">
        <w:t xml:space="preserve"> as the regional travel model</w:t>
      </w:r>
      <w:r>
        <w:t xml:space="preserve"> </w:t>
      </w:r>
      <w:r w:rsidR="0079754B">
        <w:t xml:space="preserve">creates alignment </w:t>
      </w:r>
      <w:r w:rsidR="00A87FAF">
        <w:t xml:space="preserve">between the tools to leverage the strength of each </w:t>
      </w:r>
      <w:r w:rsidR="0079754B">
        <w:t>(</w:t>
      </w:r>
      <w:proofErr w:type="spellStart"/>
      <w:r w:rsidR="0079754B">
        <w:t>VisionEval</w:t>
      </w:r>
      <w:proofErr w:type="spellEnd"/>
      <w:r w:rsidR="0079754B">
        <w:t xml:space="preserve"> and </w:t>
      </w:r>
      <w:proofErr w:type="spellStart"/>
      <w:r w:rsidR="0079754B">
        <w:t>Daysim</w:t>
      </w:r>
      <w:proofErr w:type="spellEnd"/>
      <w:r w:rsidR="0079754B">
        <w:t>) for their strengths</w:t>
      </w:r>
      <w:r w:rsidR="00DB50F6">
        <w:t xml:space="preserve"> and </w:t>
      </w:r>
      <w:r w:rsidR="00787822">
        <w:t>benefit from</w:t>
      </w:r>
      <w:r w:rsidR="00A87FAF">
        <w:t xml:space="preserve"> </w:t>
      </w:r>
      <w:r w:rsidR="00DB50F6">
        <w:t xml:space="preserve">the </w:t>
      </w:r>
      <w:r w:rsidR="00A87FAF">
        <w:t xml:space="preserve">unique attributes and performance measures produced </w:t>
      </w:r>
      <w:r w:rsidR="00DB50F6">
        <w:t xml:space="preserve">by </w:t>
      </w:r>
      <w:r w:rsidR="00787822">
        <w:t xml:space="preserve">both tools. </w:t>
      </w:r>
      <w:r w:rsidR="00A87FAF">
        <w:t xml:space="preserve">Note </w:t>
      </w:r>
      <w:r w:rsidR="00DB50F6">
        <w:t xml:space="preserve">that </w:t>
      </w:r>
      <w:r w:rsidR="00A87FAF">
        <w:t xml:space="preserve">this contract does not </w:t>
      </w:r>
      <w:r w:rsidR="00A60D9E">
        <w:t xml:space="preserve">include </w:t>
      </w:r>
      <w:r w:rsidR="00DB50F6">
        <w:t xml:space="preserve">regional travel </w:t>
      </w:r>
      <w:r w:rsidR="00A60D9E">
        <w:t>model runs</w:t>
      </w:r>
      <w:r w:rsidR="00DB50F6">
        <w:t xml:space="preserve">; RSG assumes that the existing </w:t>
      </w:r>
      <w:proofErr w:type="spellStart"/>
      <w:r w:rsidR="00DB50F6">
        <w:t>baseyear</w:t>
      </w:r>
      <w:proofErr w:type="spellEnd"/>
      <w:r w:rsidR="00DB50F6">
        <w:t xml:space="preserve"> and future reference year data from the regional model are “ready to go</w:t>
      </w:r>
      <w:r w:rsidR="00A60D9E">
        <w:t>.</w:t>
      </w:r>
      <w:r w:rsidR="00DB50F6">
        <w:t>”</w:t>
      </w:r>
      <w:r w:rsidR="00A60D9E">
        <w:t xml:space="preserve"> </w:t>
      </w:r>
    </w:p>
    <w:p w14:paraId="683FC6BF" w14:textId="77777777" w:rsidR="00403023" w:rsidRPr="00343484" w:rsidRDefault="00403023" w:rsidP="00343484">
      <w:pPr>
        <w:pStyle w:val="BodyParagraph"/>
      </w:pPr>
    </w:p>
    <w:p w14:paraId="414FC1A2" w14:textId="7043E430" w:rsidR="005D7706" w:rsidRDefault="005D7706" w:rsidP="005D7706">
      <w:pPr>
        <w:pStyle w:val="BodyParagraph"/>
      </w:pPr>
      <w:r w:rsidRPr="005D7706">
        <w:rPr>
          <w:noProof/>
        </w:rPr>
        <w:drawing>
          <wp:inline distT="0" distB="0" distL="0" distR="0" wp14:anchorId="1384A6D7" wp14:editId="27CC47C9">
            <wp:extent cx="5943600" cy="3229610"/>
            <wp:effectExtent l="0" t="0" r="0" b="0"/>
            <wp:docPr id="44" name="Picture 43" descr="A computer screen shot of a diagram&#10;&#10;AI-generated content may be incorrect.">
              <a:extLst xmlns:a="http://schemas.openxmlformats.org/drawingml/2006/main">
                <a:ext uri="{FF2B5EF4-FFF2-40B4-BE49-F238E27FC236}">
                  <a16:creationId xmlns:a16="http://schemas.microsoft.com/office/drawing/2014/main" id="{1CFF5EFB-0CA5-2F00-F8D1-EAFC82CC81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A computer screen shot of a diagram&#10;&#10;AI-generated content may be incorrect.">
                      <a:extLst>
                        <a:ext uri="{FF2B5EF4-FFF2-40B4-BE49-F238E27FC236}">
                          <a16:creationId xmlns:a16="http://schemas.microsoft.com/office/drawing/2014/main" id="{1CFF5EFB-0CA5-2F00-F8D1-EAFC82CC8132}"/>
                        </a:ext>
                      </a:extLst>
                    </pic:cNvPr>
                    <pic:cNvPicPr>
                      <a:picLocks noChangeAspect="1"/>
                    </pic:cNvPicPr>
                  </pic:nvPicPr>
                  <pic:blipFill>
                    <a:blip r:embed="rId27"/>
                    <a:stretch>
                      <a:fillRect/>
                    </a:stretch>
                  </pic:blipFill>
                  <pic:spPr>
                    <a:xfrm>
                      <a:off x="0" y="0"/>
                      <a:ext cx="5943600" cy="3229610"/>
                    </a:xfrm>
                    <a:prstGeom prst="rect">
                      <a:avLst/>
                    </a:prstGeom>
                  </pic:spPr>
                </pic:pic>
              </a:graphicData>
            </a:graphic>
          </wp:inline>
        </w:drawing>
      </w:r>
    </w:p>
    <w:p w14:paraId="1AADD402" w14:textId="77777777" w:rsidR="001C74E8" w:rsidRDefault="001C74E8">
      <w:pPr>
        <w:spacing w:after="200" w:line="276" w:lineRule="auto"/>
        <w:rPr>
          <w:rFonts w:asciiTheme="majorHAnsi" w:eastAsiaTheme="majorEastAsia" w:hAnsiTheme="majorHAnsi" w:cstheme="majorBidi"/>
          <w:b/>
          <w:bCs/>
          <w:caps/>
          <w:color w:val="F68B1F" w:themeColor="background2"/>
          <w:spacing w:val="20"/>
          <w:sz w:val="36"/>
          <w:szCs w:val="28"/>
        </w:rPr>
      </w:pPr>
      <w:bookmarkStart w:id="12" w:name="_Toc181004150"/>
      <w:r>
        <w:br w:type="page"/>
      </w:r>
    </w:p>
    <w:p w14:paraId="3745F33F" w14:textId="170AF6E1" w:rsidR="0076313C" w:rsidRDefault="0076313C" w:rsidP="00C138A9">
      <w:pPr>
        <w:pStyle w:val="Heading1"/>
        <w:pageBreakBefore w:val="0"/>
      </w:pPr>
      <w:bookmarkStart w:id="13" w:name="_Toc196224247"/>
      <w:r>
        <w:lastRenderedPageBreak/>
        <w:t>Deliverables Summary</w:t>
      </w:r>
      <w:bookmarkEnd w:id="13"/>
    </w:p>
    <w:p w14:paraId="23D64071" w14:textId="65CEFF34" w:rsidR="0076313C" w:rsidRDefault="0076313C" w:rsidP="0076313C">
      <w:pPr>
        <w:pStyle w:val="BodyParagraph"/>
      </w:pPr>
      <w:r>
        <w:t>For quick reference, this section summarizes the deliverables RSG will provide:</w:t>
      </w:r>
    </w:p>
    <w:p w14:paraId="164833A5" w14:textId="0DAE04D3" w:rsidR="0076313C" w:rsidRDefault="00296ECE" w:rsidP="0076313C">
      <w:pPr>
        <w:pStyle w:val="BodyParagraph"/>
        <w:numPr>
          <w:ilvl w:val="0"/>
          <w:numId w:val="39"/>
        </w:numPr>
      </w:pPr>
      <w:r>
        <w:t xml:space="preserve">San-Joaquin Valley-wide </w:t>
      </w:r>
      <w:proofErr w:type="spellStart"/>
      <w:r>
        <w:t>VisionEval</w:t>
      </w:r>
      <w:proofErr w:type="spellEnd"/>
      <w:r>
        <w:t xml:space="preserve"> model (the “SJV VE”) calibrated and validated in one </w:t>
      </w:r>
      <w:proofErr w:type="spellStart"/>
      <w:r>
        <w:t>baseyear</w:t>
      </w:r>
      <w:proofErr w:type="spellEnd"/>
      <w:r>
        <w:t xml:space="preserve"> and run for one future baseline year</w:t>
      </w:r>
      <w:r w:rsidR="00067AA2">
        <w:t>, stored on GitHub.</w:t>
      </w:r>
    </w:p>
    <w:p w14:paraId="7523D729" w14:textId="67F1800F" w:rsidR="00067AA2" w:rsidRDefault="00067AA2" w:rsidP="0076313C">
      <w:pPr>
        <w:pStyle w:val="BodyParagraph"/>
        <w:numPr>
          <w:ilvl w:val="0"/>
          <w:numId w:val="39"/>
        </w:numPr>
      </w:pPr>
      <w:r>
        <w:t xml:space="preserve">SJV VE input data files for one </w:t>
      </w:r>
      <w:proofErr w:type="spellStart"/>
      <w:r>
        <w:t>baseyear</w:t>
      </w:r>
      <w:proofErr w:type="spellEnd"/>
      <w:r w:rsidR="00D24AE8">
        <w:t xml:space="preserve">, </w:t>
      </w:r>
      <w:r>
        <w:t>one future baseline year</w:t>
      </w:r>
      <w:r w:rsidR="00D24AE8">
        <w:t>, and</w:t>
      </w:r>
      <w:r w:rsidR="00A75E4A">
        <w:t xml:space="preserve"> one future sensitivity test.</w:t>
      </w:r>
    </w:p>
    <w:p w14:paraId="528A7602" w14:textId="47313908" w:rsidR="00067AA2" w:rsidRDefault="002E558A" w:rsidP="002E558A">
      <w:pPr>
        <w:pStyle w:val="BodyParagraph"/>
        <w:numPr>
          <w:ilvl w:val="0"/>
          <w:numId w:val="39"/>
        </w:numPr>
      </w:pPr>
      <w:r>
        <w:t>SJV VE model runs</w:t>
      </w:r>
      <w:r w:rsidR="00B87A75">
        <w:t xml:space="preserve"> (output files)</w:t>
      </w:r>
      <w:r>
        <w:t xml:space="preserve"> for the </w:t>
      </w:r>
      <w:proofErr w:type="spellStart"/>
      <w:r>
        <w:t>baseyear</w:t>
      </w:r>
      <w:proofErr w:type="spellEnd"/>
      <w:r>
        <w:t>, a fut</w:t>
      </w:r>
      <w:r w:rsidR="00296ECE">
        <w:t>ure baseline</w:t>
      </w:r>
      <w:r>
        <w:t>,</w:t>
      </w:r>
      <w:r w:rsidR="00296ECE">
        <w:t xml:space="preserve"> and </w:t>
      </w:r>
      <w:r>
        <w:t>a future sensitivity test</w:t>
      </w:r>
      <w:r w:rsidR="66E8C6AF">
        <w:t xml:space="preserve"> </w:t>
      </w:r>
      <w:r w:rsidR="005D1EDE">
        <w:t>(Land use</w:t>
      </w:r>
      <w:r w:rsidR="4FC36935">
        <w:t xml:space="preserve"> </w:t>
      </w:r>
      <w:r w:rsidR="000B5EFC">
        <w:t xml:space="preserve">and transportation </w:t>
      </w:r>
      <w:r w:rsidR="4FC36935">
        <w:t>variations</w:t>
      </w:r>
      <w:r w:rsidR="005D1EDE">
        <w:t>)</w:t>
      </w:r>
      <w:r>
        <w:t>.</w:t>
      </w:r>
    </w:p>
    <w:p w14:paraId="4F5AB270" w14:textId="5EC585E7" w:rsidR="00067AA2" w:rsidRDefault="00067AA2" w:rsidP="0076313C">
      <w:pPr>
        <w:pStyle w:val="BodyParagraph"/>
        <w:numPr>
          <w:ilvl w:val="0"/>
          <w:numId w:val="39"/>
        </w:numPr>
      </w:pPr>
      <w:r>
        <w:t>Written documentation (one draft and one final version) of the SJV VE</w:t>
      </w:r>
      <w:r w:rsidR="001738C2">
        <w:t xml:space="preserve"> model, its methodology, its validation, and its </w:t>
      </w:r>
      <w:proofErr w:type="spellStart"/>
      <w:r w:rsidR="001738C2">
        <w:t>baseyear</w:t>
      </w:r>
      <w:proofErr w:type="spellEnd"/>
      <w:r w:rsidR="001738C2">
        <w:t xml:space="preserve"> and future baseline input data</w:t>
      </w:r>
      <w:r w:rsidR="002E558A">
        <w:t xml:space="preserve">; in </w:t>
      </w:r>
      <w:r w:rsidR="0072553B">
        <w:t>an online format.</w:t>
      </w:r>
    </w:p>
    <w:p w14:paraId="74A4727F" w14:textId="4CFE1513" w:rsidR="006F6FED" w:rsidRDefault="001738C2" w:rsidP="00A75E4A">
      <w:pPr>
        <w:pStyle w:val="BodyParagraph"/>
        <w:numPr>
          <w:ilvl w:val="0"/>
          <w:numId w:val="39"/>
        </w:numPr>
      </w:pPr>
      <w:r>
        <w:t xml:space="preserve">A web-accessible dashboard visualizing selected SJV VE </w:t>
      </w:r>
      <w:r w:rsidR="00A75E4A">
        <w:t xml:space="preserve">inputs and </w:t>
      </w:r>
      <w:r>
        <w:t>outputs</w:t>
      </w:r>
      <w:r w:rsidR="0072553B">
        <w:t xml:space="preserve">, implemented so that the user can </w:t>
      </w:r>
      <w:r w:rsidR="00A75E4A">
        <w:t>select</w:t>
      </w:r>
      <w:r w:rsidR="0072553B">
        <w:t xml:space="preserve"> th</w:t>
      </w:r>
      <w:r w:rsidR="00574977">
        <w:t>e</w:t>
      </w:r>
      <w:r w:rsidR="00A75E4A">
        <w:t xml:space="preserve"> model runs</w:t>
      </w:r>
      <w:r w:rsidR="00574977">
        <w:t xml:space="preserve"> shown and display results at the Valley-wide</w:t>
      </w:r>
      <w:r w:rsidR="00B72A4D">
        <w:t>, subarea (North, Central, and South),</w:t>
      </w:r>
      <w:r w:rsidR="00574977">
        <w:t xml:space="preserve"> or single county levels.</w:t>
      </w:r>
    </w:p>
    <w:p w14:paraId="2A9E351A" w14:textId="3B6849AD" w:rsidR="001738C2" w:rsidRDefault="006F6FED" w:rsidP="00DC62DC">
      <w:pPr>
        <w:pStyle w:val="BodyParagraph"/>
        <w:numPr>
          <w:ilvl w:val="0"/>
          <w:numId w:val="39"/>
        </w:numPr>
      </w:pPr>
      <w:r>
        <w:t>RSG staff support to present at up to three stakeholder meetings in addition to the standing project management meetings.</w:t>
      </w:r>
    </w:p>
    <w:p w14:paraId="610A2582" w14:textId="6F12CB2D" w:rsidR="006D06E1" w:rsidRDefault="0093423B" w:rsidP="006D06E1">
      <w:pPr>
        <w:pStyle w:val="BodyParagraph"/>
        <w:numPr>
          <w:ilvl w:val="0"/>
          <w:numId w:val="39"/>
        </w:numPr>
      </w:pPr>
      <w:r>
        <w:t xml:space="preserve">Eight contact hours of training, delivered remotely to all participants simultaneously. Includes training guide slide decks and </w:t>
      </w:r>
      <w:r w:rsidR="005E5ADF">
        <w:t xml:space="preserve">final </w:t>
      </w:r>
      <w:r>
        <w:t>edits to the documentation prompted by questions during training.</w:t>
      </w:r>
    </w:p>
    <w:p w14:paraId="1A617E30" w14:textId="59C2DCC6" w:rsidR="00C138A9" w:rsidRDefault="00C138A9" w:rsidP="00C138A9">
      <w:pPr>
        <w:pStyle w:val="Heading1"/>
        <w:pageBreakBefore w:val="0"/>
      </w:pPr>
      <w:bookmarkStart w:id="14" w:name="_Toc196224248"/>
      <w:r>
        <w:t xml:space="preserve">Budget </w:t>
      </w:r>
      <w:r w:rsidR="007438F2">
        <w:t xml:space="preserve">and Schedule </w:t>
      </w:r>
      <w:r>
        <w:t>for VisionEval Model</w:t>
      </w:r>
      <w:bookmarkEnd w:id="12"/>
      <w:bookmarkEnd w:id="14"/>
    </w:p>
    <w:p w14:paraId="34C53F2C" w14:textId="2FFFB99F" w:rsidR="00685E78" w:rsidRDefault="00C03E4E" w:rsidP="00C138A9">
      <w:pPr>
        <w:pStyle w:val="BodyParagraph"/>
      </w:pPr>
      <w:r>
        <w:t>The cost estimate tabulated below</w:t>
      </w:r>
      <w:r w:rsidR="00C138A9">
        <w:t xml:space="preserve"> </w:t>
      </w:r>
      <w:r w:rsidR="00685E78">
        <w:t xml:space="preserve">includes the development of the core </w:t>
      </w:r>
      <w:proofErr w:type="spellStart"/>
      <w:r w:rsidR="00685E78">
        <w:t>VisionEval</w:t>
      </w:r>
      <w:proofErr w:type="spellEnd"/>
      <w:r w:rsidR="00685E78">
        <w:t xml:space="preserve"> model, </w:t>
      </w:r>
      <w:r w:rsidR="00C865FE">
        <w:t>customizing the model with modules relevant to the SJV including a means of handling housing/land use scenarios</w:t>
      </w:r>
      <w:r w:rsidR="009A6F62">
        <w:t xml:space="preserve">, </w:t>
      </w:r>
      <w:r w:rsidR="00685E78">
        <w:t xml:space="preserve">documentation, visualization of both inputs and outputs, </w:t>
      </w:r>
      <w:r w:rsidR="00D32660">
        <w:t>plus</w:t>
      </w:r>
      <w:r w:rsidR="00685E78">
        <w:t xml:space="preserve"> training and installation assistance.</w:t>
      </w:r>
    </w:p>
    <w:p w14:paraId="19F00C5E" w14:textId="224FC9B6" w:rsidR="00C138A9" w:rsidRDefault="00C138A9" w:rsidP="00C138A9">
      <w:pPr>
        <w:pStyle w:val="BodyParagraph"/>
      </w:pPr>
      <w:r>
        <w:t xml:space="preserve">The budget for developing and applying a </w:t>
      </w:r>
      <w:proofErr w:type="spellStart"/>
      <w:r>
        <w:t>VisionEval</w:t>
      </w:r>
      <w:proofErr w:type="spellEnd"/>
      <w:r>
        <w:t xml:space="preserve"> RSPM </w:t>
      </w:r>
      <w:r w:rsidR="00997B35">
        <w:t xml:space="preserve">for </w:t>
      </w:r>
      <w:r>
        <w:t xml:space="preserve">the </w:t>
      </w:r>
      <w:r w:rsidR="00C03E4E">
        <w:t>SJV geography</w:t>
      </w:r>
      <w:r>
        <w:t xml:space="preserve"> reflects the approach outlined above along with several </w:t>
      </w:r>
      <w:r w:rsidR="00E34EF4">
        <w:t>assumptions</w:t>
      </w:r>
      <w:r w:rsidR="00C03E4E">
        <w:t xml:space="preserve"> listed</w:t>
      </w:r>
      <w:r>
        <w:t xml:space="preserve"> below.</w:t>
      </w:r>
    </w:p>
    <w:p w14:paraId="2917440C" w14:textId="5B618137" w:rsidR="00C138A9" w:rsidRDefault="00C138A9" w:rsidP="00C138A9">
      <w:pPr>
        <w:pStyle w:val="Heading3"/>
      </w:pPr>
      <w:bookmarkStart w:id="15" w:name="_Toc196224249"/>
      <w:r>
        <w:lastRenderedPageBreak/>
        <w:t>Budget Assumptions</w:t>
      </w:r>
      <w:bookmarkEnd w:id="15"/>
    </w:p>
    <w:p w14:paraId="29F4AEE9" w14:textId="6991FFC5" w:rsidR="00C138A9" w:rsidRDefault="00C138A9" w:rsidP="0076124C">
      <w:pPr>
        <w:pStyle w:val="BodyParagraph"/>
        <w:numPr>
          <w:ilvl w:val="0"/>
          <w:numId w:val="33"/>
        </w:numPr>
      </w:pPr>
      <w:r>
        <w:t>Project Management</w:t>
      </w:r>
      <w:r w:rsidR="0076124C">
        <w:t xml:space="preserve">. The </w:t>
      </w:r>
      <w:r w:rsidRPr="00C138A9">
        <w:t>RSG team will hold</w:t>
      </w:r>
      <w:r w:rsidR="0018558E">
        <w:t xml:space="preserve"> and distribute notes for</w:t>
      </w:r>
      <w:r w:rsidRPr="00C138A9">
        <w:t xml:space="preserve"> bi-weekly conference calls with FresnoCOG to discuss progress in the previous period and issues that may </w:t>
      </w:r>
      <w:r w:rsidR="0018558E">
        <w:t>arise</w:t>
      </w:r>
      <w:r w:rsidRPr="00C138A9">
        <w:t>. RSG will prepare monthly invoices and progress reports.</w:t>
      </w:r>
    </w:p>
    <w:p w14:paraId="7C9A484A" w14:textId="0B8D43E7" w:rsidR="00C138A9" w:rsidRDefault="00967E1D" w:rsidP="00C138A9">
      <w:pPr>
        <w:pStyle w:val="BodyParagraph"/>
        <w:numPr>
          <w:ilvl w:val="0"/>
          <w:numId w:val="33"/>
        </w:numPr>
      </w:pPr>
      <w:r>
        <w:t xml:space="preserve">RSG will source, collect, clean, and create VE inputs for one common </w:t>
      </w:r>
      <w:proofErr w:type="spellStart"/>
      <w:r>
        <w:t>baseyear</w:t>
      </w:r>
      <w:proofErr w:type="spellEnd"/>
      <w:r>
        <w:t xml:space="preserve"> using Census and other public sources. Choice of </w:t>
      </w:r>
      <w:proofErr w:type="spellStart"/>
      <w:r>
        <w:t>baseyear</w:t>
      </w:r>
      <w:proofErr w:type="spellEnd"/>
      <w:r>
        <w:t xml:space="preserve"> can be any year for which such data is readily available.</w:t>
      </w:r>
    </w:p>
    <w:p w14:paraId="5BC077CA" w14:textId="1D5BEAD9" w:rsidR="00C138A9" w:rsidRDefault="00967E1D">
      <w:pPr>
        <w:pStyle w:val="BodyParagraph"/>
        <w:numPr>
          <w:ilvl w:val="0"/>
          <w:numId w:val="33"/>
        </w:numPr>
      </w:pPr>
      <w:r>
        <w:t>RSG will collate inputs and run one</w:t>
      </w:r>
      <w:r w:rsidR="00C138A9">
        <w:t xml:space="preserve"> future reference year –</w:t>
      </w:r>
      <w:r w:rsidR="00FE173B">
        <w:t xml:space="preserve"> </w:t>
      </w:r>
      <w:r w:rsidR="00E974AF">
        <w:t xml:space="preserve">assumed to be </w:t>
      </w:r>
      <w:r w:rsidR="00C138A9">
        <w:t xml:space="preserve">year </w:t>
      </w:r>
      <w:r w:rsidR="52D075E1">
        <w:t>2046</w:t>
      </w:r>
      <w:r w:rsidR="00C138A9">
        <w:t>.</w:t>
      </w:r>
    </w:p>
    <w:p w14:paraId="085AA380" w14:textId="42C917FC" w:rsidR="001E3748" w:rsidRDefault="00C138A9" w:rsidP="001E3748">
      <w:pPr>
        <w:pStyle w:val="BodyParagraph"/>
        <w:numPr>
          <w:ilvl w:val="0"/>
          <w:numId w:val="33"/>
        </w:numPr>
      </w:pPr>
      <w:r>
        <w:t>Geographic extent will be</w:t>
      </w:r>
      <w:r w:rsidR="00FE173B">
        <w:t xml:space="preserve"> the entire San Joaquin Valley, with the VE zone system designed to nes</w:t>
      </w:r>
      <w:r w:rsidR="006B314A">
        <w:t>t as closely as Census geographies permit within each of the 8 counties.</w:t>
      </w:r>
    </w:p>
    <w:p w14:paraId="344BC348" w14:textId="7D72F9BB" w:rsidR="00C138A9" w:rsidRDefault="1F292E3D" w:rsidP="004E75D0">
      <w:pPr>
        <w:pStyle w:val="BodyParagraph"/>
        <w:numPr>
          <w:ilvl w:val="0"/>
          <w:numId w:val="33"/>
        </w:numPr>
      </w:pPr>
      <w:r>
        <w:t xml:space="preserve">The VE model will include the latest VE 3.1.2 core framework, supplemented with modules developed by RSG including, </w:t>
      </w:r>
      <w:proofErr w:type="spellStart"/>
      <w:r>
        <w:t>VEPopulationSim</w:t>
      </w:r>
      <w:proofErr w:type="spellEnd"/>
      <w:r>
        <w:t xml:space="preserve">, Teleworking, Driverless Vehicles, and VE-ITHIM. RSG will choose the best population synthesis approach after collating the </w:t>
      </w:r>
      <w:proofErr w:type="spellStart"/>
      <w:r>
        <w:t>baseyear</w:t>
      </w:r>
      <w:proofErr w:type="spellEnd"/>
      <w:r>
        <w:t xml:space="preserve"> data. RSG also assumes that the housing and allocation steps will be performed using the new modules from Portland State University or equivalent means requiring no extra budget beyond that included herein the scope.</w:t>
      </w:r>
    </w:p>
    <w:p w14:paraId="0B0F27F8" w14:textId="7DD21AD1" w:rsidR="00CA38C9" w:rsidRDefault="00CA38C9" w:rsidP="004E75D0">
      <w:pPr>
        <w:pStyle w:val="BodyParagraph"/>
        <w:numPr>
          <w:ilvl w:val="0"/>
          <w:numId w:val="33"/>
        </w:numPr>
      </w:pPr>
      <w:r>
        <w:t>The VE zone structure will be d</w:t>
      </w:r>
      <w:r w:rsidR="00531AB9">
        <w:t>riven by Census geographies, and a crosswalk table provided between the Census geos and the MPO models’ TAZs.</w:t>
      </w:r>
    </w:p>
    <w:p w14:paraId="598F6BB5" w14:textId="6C2C4255" w:rsidR="00C138A9" w:rsidRDefault="00C138A9" w:rsidP="00C138A9">
      <w:pPr>
        <w:pStyle w:val="BodyParagraph"/>
        <w:numPr>
          <w:ilvl w:val="0"/>
          <w:numId w:val="33"/>
        </w:numPr>
      </w:pPr>
      <w:r>
        <w:t xml:space="preserve">Calibration of the model will be done to one historical base year. The calibration will attempt to balance daily VMT per capita or household at the </w:t>
      </w:r>
      <w:proofErr w:type="spellStart"/>
      <w:r>
        <w:t>Azone</w:t>
      </w:r>
      <w:proofErr w:type="spellEnd"/>
      <w:r>
        <w:t xml:space="preserve"> level that aligns with BTS LATCH data. Total daily network VMT, vehicles owned by households, vehicles per capita, income distributions, walking, biking, and transit trips all will be measured against data from the </w:t>
      </w:r>
      <w:r w:rsidR="001E3748">
        <w:t xml:space="preserve">BTS LATCH </w:t>
      </w:r>
      <w:r w:rsidR="00481135">
        <w:t xml:space="preserve">or other readily-available </w:t>
      </w:r>
      <w:r w:rsidR="001E3748">
        <w:t>source</w:t>
      </w:r>
      <w:r w:rsidR="00481135">
        <w:t>s</w:t>
      </w:r>
      <w:r>
        <w:t xml:space="preserve">. </w:t>
      </w:r>
      <w:r w:rsidR="00481135">
        <w:t>E</w:t>
      </w:r>
      <w:r>
        <w:t xml:space="preserve">fforts to calibrate vehicle DVMT will be the priority. If other parts do not calibrate, they will be informative </w:t>
      </w:r>
      <w:r w:rsidR="00481135">
        <w:t>regarding</w:t>
      </w:r>
      <w:r>
        <w:t xml:space="preserve"> the </w:t>
      </w:r>
      <w:r w:rsidR="00481135">
        <w:t>capabilities</w:t>
      </w:r>
      <w:r>
        <w:t xml:space="preserve"> of the model. </w:t>
      </w:r>
    </w:p>
    <w:p w14:paraId="191B805D" w14:textId="61EC2C30" w:rsidR="00016287" w:rsidRDefault="00A64FF1" w:rsidP="00C138A9">
      <w:pPr>
        <w:pStyle w:val="BodyParagraph"/>
        <w:numPr>
          <w:ilvl w:val="0"/>
          <w:numId w:val="33"/>
        </w:numPr>
      </w:pPr>
      <w:r w:rsidRPr="00A64FF1">
        <w:rPr>
          <w:noProof/>
        </w:rPr>
        <w:lastRenderedPageBreak/>
        <w:drawing>
          <wp:anchor distT="0" distB="0" distL="114300" distR="114300" simplePos="0" relativeHeight="251658243" behindDoc="0" locked="0" layoutInCell="1" allowOverlap="1" wp14:anchorId="5799528B" wp14:editId="6FAD2880">
            <wp:simplePos x="0" y="0"/>
            <wp:positionH relativeFrom="column">
              <wp:posOffset>2579299</wp:posOffset>
            </wp:positionH>
            <wp:positionV relativeFrom="paragraph">
              <wp:posOffset>20680</wp:posOffset>
            </wp:positionV>
            <wp:extent cx="3190244" cy="2518793"/>
            <wp:effectExtent l="0" t="0" r="0" b="0"/>
            <wp:wrapSquare wrapText="bothSides"/>
            <wp:docPr id="191776654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66549" name="Picture 1" descr="A screenshot of a graph&#10;&#10;AI-generated content may be incorrect."/>
                    <pic:cNvPicPr/>
                  </pic:nvPicPr>
                  <pic:blipFill>
                    <a:blip r:embed="rId28"/>
                    <a:stretch>
                      <a:fillRect/>
                    </a:stretch>
                  </pic:blipFill>
                  <pic:spPr>
                    <a:xfrm>
                      <a:off x="0" y="0"/>
                      <a:ext cx="3190244" cy="2518793"/>
                    </a:xfrm>
                    <a:prstGeom prst="rect">
                      <a:avLst/>
                    </a:prstGeom>
                  </pic:spPr>
                </pic:pic>
              </a:graphicData>
            </a:graphic>
            <wp14:sizeRelH relativeFrom="page">
              <wp14:pctWidth>0</wp14:pctWidth>
            </wp14:sizeRelH>
            <wp14:sizeRelV relativeFrom="page">
              <wp14:pctHeight>0</wp14:pctHeight>
            </wp14:sizeRelV>
          </wp:anchor>
        </w:drawing>
      </w:r>
      <w:r w:rsidR="00E5135C">
        <w:t xml:space="preserve">Scenario analysis will </w:t>
      </w:r>
      <w:r w:rsidR="00923875">
        <w:t>be enabled by the core VE</w:t>
      </w:r>
      <w:r w:rsidR="00016287">
        <w:t xml:space="preserve"> </w:t>
      </w:r>
      <w:proofErr w:type="spellStart"/>
      <w:r w:rsidR="005D2529">
        <w:t>M</w:t>
      </w:r>
      <w:r w:rsidR="00016287">
        <w:t>ultiscenario</w:t>
      </w:r>
      <w:proofErr w:type="spellEnd"/>
      <w:r w:rsidR="00016287">
        <w:t xml:space="preserve"> analysis approach. This packages up a set of </w:t>
      </w:r>
      <w:r w:rsidR="005D2529">
        <w:t>inputs and creates a set of unique combinations</w:t>
      </w:r>
      <w:r w:rsidR="00923875">
        <w:t>, supporting</w:t>
      </w:r>
      <w:r w:rsidR="005D2529">
        <w:t xml:space="preserve"> running </w:t>
      </w:r>
      <w:r w:rsidR="00923875">
        <w:t>hundreds of input</w:t>
      </w:r>
      <w:r w:rsidR="005D2529">
        <w:t xml:space="preserve"> </w:t>
      </w:r>
      <w:r w:rsidR="00923875">
        <w:t xml:space="preserve">combinations </w:t>
      </w:r>
      <w:r w:rsidR="005D2529">
        <w:t xml:space="preserve">and evaluating the results </w:t>
      </w:r>
      <w:r w:rsidR="00923875">
        <w:t>against user-set performance measure targets (up to six measure targets at a time)</w:t>
      </w:r>
      <w:r w:rsidR="005D2529">
        <w:t xml:space="preserve">. </w:t>
      </w:r>
      <w:r w:rsidR="00C24E6C">
        <w:t xml:space="preserve">The </w:t>
      </w:r>
      <w:proofErr w:type="spellStart"/>
      <w:r w:rsidR="00C24E6C">
        <w:t>Multiscenario</w:t>
      </w:r>
      <w:proofErr w:type="spellEnd"/>
      <w:r w:rsidR="00C24E6C">
        <w:t xml:space="preserve"> viewer/evaluator can be created in Tableau or in Shiny .</w:t>
      </w:r>
      <w:hyperlink r:id="rId29" w:history="1">
        <w:r w:rsidR="00CC08CF" w:rsidRPr="00503037">
          <w:rPr>
            <w:rStyle w:val="Hyperlink"/>
          </w:rPr>
          <w:t>https://public.tableau.com/app/profile/charles.baber/viz/BMC02012025_v3_11/Dashboard?publish=yes</w:t>
        </w:r>
      </w:hyperlink>
      <w:r w:rsidR="00CC08CF">
        <w:t xml:space="preserve"> </w:t>
      </w:r>
    </w:p>
    <w:p w14:paraId="5CE43EB7" w14:textId="6CFF0C86" w:rsidR="009C1CDF" w:rsidRDefault="00C24E6C" w:rsidP="007912D7">
      <w:pPr>
        <w:pStyle w:val="BodyParagraph"/>
        <w:numPr>
          <w:ilvl w:val="0"/>
          <w:numId w:val="33"/>
        </w:numPr>
      </w:pPr>
      <w:r>
        <w:t xml:space="preserve">The </w:t>
      </w:r>
      <w:r w:rsidR="00A471BF">
        <w:t xml:space="preserve">outputs </w:t>
      </w:r>
      <w:r>
        <w:t>visualizer will be built in Tableau or Shiny.</w:t>
      </w:r>
    </w:p>
    <w:p w14:paraId="22ED8E78" w14:textId="01DE8B7B" w:rsidR="002853FC" w:rsidRDefault="007912D7" w:rsidP="007912D7">
      <w:pPr>
        <w:pStyle w:val="BodyParagraph"/>
        <w:numPr>
          <w:ilvl w:val="0"/>
          <w:numId w:val="33"/>
        </w:numPr>
      </w:pPr>
      <w:r>
        <w:t>If sub-regions want to create smaller, sub-region model</w:t>
      </w:r>
      <w:r w:rsidR="00A471BF">
        <w:t>s</w:t>
      </w:r>
      <w:r>
        <w:t>, that can be explored a</w:t>
      </w:r>
      <w:r w:rsidR="00A471BF">
        <w:t>f</w:t>
      </w:r>
      <w:r>
        <w:t>t</w:t>
      </w:r>
      <w:r w:rsidR="00A471BF">
        <w:t>er</w:t>
      </w:r>
      <w:r>
        <w:t xml:space="preserve"> the conclusion of th</w:t>
      </w:r>
      <w:r w:rsidR="009C1CDF">
        <w:t>is project</w:t>
      </w:r>
      <w:r>
        <w:t>.</w:t>
      </w:r>
    </w:p>
    <w:p w14:paraId="3886E410" w14:textId="6A618758" w:rsidR="004618A1" w:rsidRDefault="008724AD" w:rsidP="007912D7">
      <w:pPr>
        <w:pStyle w:val="BodyParagraph"/>
        <w:numPr>
          <w:ilvl w:val="0"/>
          <w:numId w:val="33"/>
        </w:numPr>
      </w:pPr>
      <w:r>
        <w:t xml:space="preserve">There are several items </w:t>
      </w:r>
      <w:r w:rsidR="005A066D">
        <w:t>that</w:t>
      </w:r>
      <w:r>
        <w:t xml:space="preserve"> this scope assumes FresnoCOG </w:t>
      </w:r>
      <w:r w:rsidR="00D90A3D">
        <w:t xml:space="preserve">and the Valley MPOs </w:t>
      </w:r>
      <w:r w:rsidR="005A066D">
        <w:t>will</w:t>
      </w:r>
      <w:r>
        <w:t xml:space="preserve"> </w:t>
      </w:r>
      <w:r w:rsidR="005A066D">
        <w:t>provide</w:t>
      </w:r>
      <w:r>
        <w:t>:</w:t>
      </w:r>
    </w:p>
    <w:p w14:paraId="32922317" w14:textId="2A17F00E" w:rsidR="00825232" w:rsidRDefault="00646145" w:rsidP="001F60FE">
      <w:pPr>
        <w:pStyle w:val="BodyParagraph"/>
        <w:numPr>
          <w:ilvl w:val="1"/>
          <w:numId w:val="33"/>
        </w:numPr>
      </w:pPr>
      <w:r>
        <w:t>Common f</w:t>
      </w:r>
      <w:r w:rsidR="008724AD">
        <w:t>uture horizon year</w:t>
      </w:r>
      <w:r>
        <w:t xml:space="preserve"> (assumed </w:t>
      </w:r>
      <w:r w:rsidR="4A919AA2">
        <w:t>2046</w:t>
      </w:r>
      <w:r>
        <w:t>)</w:t>
      </w:r>
      <w:r w:rsidR="008724AD">
        <w:t xml:space="preserve"> socio-economic and land use TAZ-level </w:t>
      </w:r>
      <w:r w:rsidR="00792B8E">
        <w:t xml:space="preserve">input </w:t>
      </w:r>
      <w:r w:rsidR="008724AD">
        <w:t>data from the</w:t>
      </w:r>
      <w:r w:rsidR="001F60FE">
        <w:t xml:space="preserve"> 8</w:t>
      </w:r>
      <w:r w:rsidR="008724AD">
        <w:t xml:space="preserve"> regional travel model</w:t>
      </w:r>
      <w:r w:rsidR="00D90A3D">
        <w:t>s</w:t>
      </w:r>
      <w:r w:rsidR="008724AD">
        <w:t xml:space="preserve"> covering the desired </w:t>
      </w:r>
      <w:r w:rsidR="00D90A3D">
        <w:t xml:space="preserve">Valley-wide </w:t>
      </w:r>
      <w:proofErr w:type="spellStart"/>
      <w:r w:rsidR="008724AD">
        <w:t>Vis</w:t>
      </w:r>
      <w:r w:rsidR="00074652">
        <w:t>i</w:t>
      </w:r>
      <w:r w:rsidR="008724AD">
        <w:t>onEval</w:t>
      </w:r>
      <w:proofErr w:type="spellEnd"/>
      <w:r w:rsidR="008724AD">
        <w:t xml:space="preserve"> model geography</w:t>
      </w:r>
      <w:r w:rsidR="00D90A3D">
        <w:t xml:space="preserve"> and </w:t>
      </w:r>
      <w:proofErr w:type="spellStart"/>
      <w:r w:rsidR="00D90A3D">
        <w:t>VisionEval</w:t>
      </w:r>
      <w:proofErr w:type="spellEnd"/>
      <w:r w:rsidR="00D90A3D">
        <w:t xml:space="preserve"> zone structure</w:t>
      </w:r>
      <w:r w:rsidR="00A64EF7">
        <w:t xml:space="preserve">; plus the </w:t>
      </w:r>
      <w:proofErr w:type="spellStart"/>
      <w:r w:rsidR="00D90A3D">
        <w:t>b</w:t>
      </w:r>
      <w:r w:rsidR="00FA1DC5">
        <w:t>aseyear</w:t>
      </w:r>
      <w:proofErr w:type="spellEnd"/>
      <w:r w:rsidR="00D90A3D">
        <w:t xml:space="preserve"> and future year</w:t>
      </w:r>
      <w:r w:rsidR="008724AD">
        <w:t xml:space="preserve"> transportation networks for </w:t>
      </w:r>
      <w:r w:rsidR="00825232">
        <w:t xml:space="preserve">the </w:t>
      </w:r>
      <w:r w:rsidR="008724AD">
        <w:t>road</w:t>
      </w:r>
      <w:r w:rsidR="00825232">
        <w:t xml:space="preserve"> and </w:t>
      </w:r>
      <w:r w:rsidR="008724AD">
        <w:t>transit</w:t>
      </w:r>
      <w:r w:rsidR="00825232">
        <w:t xml:space="preserve"> transportation systems </w:t>
      </w:r>
      <w:r w:rsidR="008724AD">
        <w:t>from the regional travel model</w:t>
      </w:r>
      <w:r w:rsidR="001F60FE">
        <w:t>s</w:t>
      </w:r>
      <w:r w:rsidR="008724AD">
        <w:t xml:space="preserve"> </w:t>
      </w:r>
      <w:r w:rsidR="005A066D">
        <w:t>(or equivalent</w:t>
      </w:r>
      <w:r w:rsidR="001F60FE">
        <w:t>s</w:t>
      </w:r>
      <w:r w:rsidR="005A066D">
        <w:t>) sufficient to compute total roadway lane miles</w:t>
      </w:r>
      <w:r w:rsidR="00825232">
        <w:t xml:space="preserve"> and </w:t>
      </w:r>
      <w:r w:rsidR="005A066D">
        <w:t>total transit service miles</w:t>
      </w:r>
      <w:r w:rsidR="00825232">
        <w:t xml:space="preserve"> for the </w:t>
      </w:r>
      <w:r w:rsidR="00E34EF4">
        <w:t>Valley</w:t>
      </w:r>
      <w:r w:rsidR="001F60FE">
        <w:t xml:space="preserve">-wide </w:t>
      </w:r>
      <w:proofErr w:type="spellStart"/>
      <w:r w:rsidR="00825232">
        <w:t>Vis</w:t>
      </w:r>
      <w:r w:rsidR="00074652">
        <w:t>i</w:t>
      </w:r>
      <w:r w:rsidR="00825232">
        <w:t>onEval</w:t>
      </w:r>
      <w:proofErr w:type="spellEnd"/>
      <w:r w:rsidR="00825232">
        <w:t xml:space="preserve"> model geography.</w:t>
      </w:r>
    </w:p>
    <w:p w14:paraId="46BAB947" w14:textId="09FF6471" w:rsidR="00451D75" w:rsidRDefault="00451D75" w:rsidP="008724AD">
      <w:pPr>
        <w:pStyle w:val="BodyParagraph"/>
        <w:numPr>
          <w:ilvl w:val="1"/>
          <w:numId w:val="33"/>
        </w:numPr>
      </w:pPr>
      <w:proofErr w:type="spellStart"/>
      <w:r>
        <w:t>Baseyear</w:t>
      </w:r>
      <w:proofErr w:type="spellEnd"/>
      <w:r>
        <w:t xml:space="preserve"> regional travel model forecast</w:t>
      </w:r>
      <w:r w:rsidR="001F60FE">
        <w:t>s</w:t>
      </w:r>
      <w:r>
        <w:t xml:space="preserve"> showing mode shares, VMT, and VMT/capita</w:t>
      </w:r>
      <w:r w:rsidR="00646145">
        <w:t xml:space="preserve"> from each of the 8 models (can be in different </w:t>
      </w:r>
      <w:proofErr w:type="spellStart"/>
      <w:r w:rsidR="00646145">
        <w:t>baseyears</w:t>
      </w:r>
      <w:proofErr w:type="spellEnd"/>
      <w:r w:rsidR="00646145">
        <w:t>).</w:t>
      </w:r>
    </w:p>
    <w:p w14:paraId="327C3C56" w14:textId="24680EF0" w:rsidR="00451D75" w:rsidRDefault="00646145" w:rsidP="00646145">
      <w:pPr>
        <w:pStyle w:val="BodyParagraph"/>
        <w:numPr>
          <w:ilvl w:val="1"/>
          <w:numId w:val="33"/>
        </w:numPr>
      </w:pPr>
      <w:r>
        <w:t>TAZ polygon spatial data files for the 8 MPO travel model zone systems</w:t>
      </w:r>
      <w:r w:rsidR="00664AEC">
        <w:t>, and review of the VE zone to MPO travel model crosswalk table.</w:t>
      </w:r>
    </w:p>
    <w:p w14:paraId="5BC498DB" w14:textId="25D5E73D" w:rsidR="00AA54D7" w:rsidRDefault="00AA54D7" w:rsidP="008724AD">
      <w:pPr>
        <w:pStyle w:val="BodyParagraph"/>
        <w:numPr>
          <w:ilvl w:val="1"/>
          <w:numId w:val="33"/>
        </w:numPr>
      </w:pPr>
      <w:r>
        <w:t xml:space="preserve">Scheduling, </w:t>
      </w:r>
      <w:r w:rsidR="006F6FED">
        <w:t xml:space="preserve">facilitating, and supplying notes for any </w:t>
      </w:r>
      <w:r w:rsidR="00725B1F">
        <w:t xml:space="preserve">stakeholder </w:t>
      </w:r>
      <w:r w:rsidR="006F6FED">
        <w:t>engagement required (RSG will provide supporting material through the RSG deliverables summarized above).</w:t>
      </w:r>
    </w:p>
    <w:p w14:paraId="33780023" w14:textId="29A7917D" w:rsidR="00E05774" w:rsidRDefault="00E05774" w:rsidP="00E05774">
      <w:pPr>
        <w:pStyle w:val="BodyParagraph"/>
      </w:pPr>
      <w:r>
        <w:lastRenderedPageBreak/>
        <w:fldChar w:fldCharType="begin"/>
      </w:r>
      <w:r>
        <w:instrText xml:space="preserve"> REF _Ref196130217 \h </w:instrText>
      </w:r>
      <w:r>
        <w:fldChar w:fldCharType="separate"/>
      </w:r>
      <w:r>
        <w:t xml:space="preserve">Table </w:t>
      </w:r>
      <w:r>
        <w:rPr>
          <w:noProof/>
        </w:rPr>
        <w:t>1</w:t>
      </w:r>
      <w:r>
        <w:fldChar w:fldCharType="end"/>
      </w:r>
      <w:r>
        <w:t xml:space="preserve"> summarizes the key tasks and the estimated fee</w:t>
      </w:r>
      <w:r w:rsidR="007203BF">
        <w:t xml:space="preserve"> by task</w:t>
      </w:r>
      <w:r>
        <w:t xml:space="preserve">. </w:t>
      </w:r>
    </w:p>
    <w:p w14:paraId="19D73EFC" w14:textId="7AC06F47" w:rsidR="00E05774" w:rsidRDefault="00E05774" w:rsidP="00E05774">
      <w:pPr>
        <w:pStyle w:val="Caption"/>
      </w:pPr>
      <w:bookmarkStart w:id="16" w:name="_Ref196130217"/>
      <w:r>
        <w:t xml:space="preserve">Table </w:t>
      </w:r>
      <w:r>
        <w:fldChar w:fldCharType="begin"/>
      </w:r>
      <w:r>
        <w:instrText>SEQ Table \* ARABIC</w:instrText>
      </w:r>
      <w:r>
        <w:fldChar w:fldCharType="separate"/>
      </w:r>
      <w:r>
        <w:rPr>
          <w:noProof/>
        </w:rPr>
        <w:t>1</w:t>
      </w:r>
      <w:r>
        <w:fldChar w:fldCharType="end"/>
      </w:r>
      <w:bookmarkEnd w:id="16"/>
      <w:r>
        <w:t>: Task Budget</w:t>
      </w:r>
    </w:p>
    <w:tbl>
      <w:tblPr>
        <w:tblStyle w:val="BlueCentered"/>
        <w:tblW w:w="9350" w:type="dxa"/>
        <w:tblLook w:val="04A0" w:firstRow="1" w:lastRow="0" w:firstColumn="1" w:lastColumn="0" w:noHBand="0" w:noVBand="1"/>
      </w:tblPr>
      <w:tblGrid>
        <w:gridCol w:w="3542"/>
        <w:gridCol w:w="3649"/>
        <w:gridCol w:w="2159"/>
      </w:tblGrid>
      <w:tr w:rsidR="001C74E8" w:rsidRPr="00E05774" w14:paraId="64E5988A" w14:textId="77777777" w:rsidTr="000B5EFC">
        <w:trPr>
          <w:cnfStyle w:val="100000000000" w:firstRow="1" w:lastRow="0" w:firstColumn="0" w:lastColumn="0" w:oddVBand="0" w:evenVBand="0" w:oddHBand="0" w:evenHBand="0" w:firstRowFirstColumn="0" w:firstRowLastColumn="0" w:lastRowFirstColumn="0" w:lastRowLastColumn="0"/>
          <w:trHeight w:val="300"/>
        </w:trPr>
        <w:tc>
          <w:tcPr>
            <w:tcW w:w="0" w:type="dxa"/>
            <w:vAlign w:val="top"/>
            <w:hideMark/>
          </w:tcPr>
          <w:p w14:paraId="3BB0948B" w14:textId="77777777" w:rsidR="001C74E8" w:rsidRPr="00E05774" w:rsidRDefault="001C74E8" w:rsidP="001C74E8">
            <w:pPr>
              <w:rPr>
                <w:rFonts w:eastAsia="Times New Roman" w:cs="Arial"/>
                <w:bCs/>
              </w:rPr>
            </w:pPr>
            <w:r w:rsidRPr="00E05774">
              <w:rPr>
                <w:rFonts w:eastAsia="Times New Roman" w:cs="Arial"/>
                <w:bCs/>
              </w:rPr>
              <w:t>Task</w:t>
            </w:r>
          </w:p>
        </w:tc>
        <w:tc>
          <w:tcPr>
            <w:tcW w:w="0" w:type="dxa"/>
            <w:vAlign w:val="top"/>
            <w:hideMark/>
          </w:tcPr>
          <w:p w14:paraId="003F7F3A" w14:textId="77777777" w:rsidR="001C74E8" w:rsidRPr="00E05774" w:rsidRDefault="001C74E8" w:rsidP="001C74E8">
            <w:pPr>
              <w:rPr>
                <w:rFonts w:eastAsia="Times New Roman" w:cs="Arial"/>
                <w:bCs/>
              </w:rPr>
            </w:pPr>
            <w:r w:rsidRPr="00E05774">
              <w:rPr>
                <w:rFonts w:eastAsia="Times New Roman" w:cs="Arial"/>
                <w:bCs/>
              </w:rPr>
              <w:t>Description</w:t>
            </w:r>
          </w:p>
        </w:tc>
        <w:tc>
          <w:tcPr>
            <w:tcW w:w="1200" w:type="dxa"/>
            <w:vAlign w:val="center"/>
            <w:hideMark/>
          </w:tcPr>
          <w:p w14:paraId="7287F597" w14:textId="77777777" w:rsidR="001C74E8" w:rsidRPr="00E05774" w:rsidRDefault="001C74E8" w:rsidP="001C74E8">
            <w:pPr>
              <w:rPr>
                <w:rFonts w:eastAsia="Times New Roman" w:cs="Arial"/>
                <w:bCs/>
              </w:rPr>
            </w:pPr>
            <w:r w:rsidRPr="00E05774">
              <w:rPr>
                <w:rFonts w:eastAsia="Times New Roman" w:cs="Arial"/>
                <w:bCs/>
              </w:rPr>
              <w:t>Fee</w:t>
            </w:r>
          </w:p>
        </w:tc>
      </w:tr>
      <w:tr w:rsidR="00D90A3D" w:rsidRPr="00E05774" w14:paraId="736CCFC5" w14:textId="77777777" w:rsidTr="000B5EFC">
        <w:trPr>
          <w:trHeight w:val="300"/>
        </w:trPr>
        <w:tc>
          <w:tcPr>
            <w:tcW w:w="0" w:type="dxa"/>
            <w:vAlign w:val="center"/>
            <w:hideMark/>
          </w:tcPr>
          <w:p w14:paraId="3BC04A96" w14:textId="64F43068" w:rsidR="1F292E3D" w:rsidRDefault="1F292E3D" w:rsidP="1F292E3D">
            <w:pPr>
              <w:jc w:val="left"/>
            </w:pPr>
            <w:r w:rsidRPr="1F292E3D">
              <w:rPr>
                <w:rFonts w:eastAsia="Arial" w:cs="Arial"/>
                <w:sz w:val="22"/>
              </w:rPr>
              <w:t>Project Management, QC, and engagement support.</w:t>
            </w:r>
          </w:p>
        </w:tc>
        <w:tc>
          <w:tcPr>
            <w:tcW w:w="0" w:type="dxa"/>
            <w:vAlign w:val="center"/>
            <w:hideMark/>
          </w:tcPr>
          <w:p w14:paraId="59A864FE" w14:textId="5DB64034" w:rsidR="1F292E3D" w:rsidRDefault="1F292E3D" w:rsidP="1F292E3D">
            <w:pPr>
              <w:jc w:val="left"/>
            </w:pPr>
            <w:r w:rsidRPr="1F292E3D">
              <w:rPr>
                <w:rFonts w:eastAsia="Arial" w:cs="Arial"/>
                <w:sz w:val="22"/>
              </w:rPr>
              <w:t>Biweekly meetings with agendas and notes, monthly progress reports and invoices, change management, and QA/QC. RSG staff presentations (one slide deck) for up to three general stakeholder meetings.</w:t>
            </w:r>
          </w:p>
        </w:tc>
        <w:tc>
          <w:tcPr>
            <w:tcW w:w="1200" w:type="dxa"/>
            <w:vAlign w:val="center"/>
            <w:hideMark/>
          </w:tcPr>
          <w:p w14:paraId="304ECE4F" w14:textId="34A7A062" w:rsidR="1F292E3D" w:rsidRDefault="1F292E3D" w:rsidP="1F292E3D">
            <w:pPr>
              <w:jc w:val="right"/>
            </w:pPr>
            <w:r w:rsidRPr="1F292E3D">
              <w:rPr>
                <w:rFonts w:eastAsia="Arial" w:cs="Arial"/>
                <w:sz w:val="22"/>
              </w:rPr>
              <w:t xml:space="preserve">$19,110 </w:t>
            </w:r>
          </w:p>
        </w:tc>
      </w:tr>
      <w:tr w:rsidR="00D90A3D" w:rsidRPr="00E05774" w14:paraId="3DAE789D" w14:textId="77777777" w:rsidTr="000B5EFC">
        <w:trPr>
          <w:trHeight w:val="300"/>
        </w:trPr>
        <w:tc>
          <w:tcPr>
            <w:tcW w:w="0" w:type="dxa"/>
            <w:vAlign w:val="center"/>
            <w:hideMark/>
          </w:tcPr>
          <w:p w14:paraId="4301244A" w14:textId="78CA0E5A" w:rsidR="1F292E3D" w:rsidRDefault="1F292E3D" w:rsidP="1F292E3D">
            <w:pPr>
              <w:jc w:val="left"/>
            </w:pPr>
            <w:r w:rsidRPr="1F292E3D">
              <w:rPr>
                <w:rFonts w:eastAsia="Arial" w:cs="Arial"/>
                <w:sz w:val="22"/>
              </w:rPr>
              <w:t xml:space="preserve">Set up </w:t>
            </w:r>
            <w:proofErr w:type="spellStart"/>
            <w:r w:rsidRPr="1F292E3D">
              <w:rPr>
                <w:rFonts w:eastAsia="Arial" w:cs="Arial"/>
                <w:sz w:val="22"/>
              </w:rPr>
              <w:t>VisonEval</w:t>
            </w:r>
            <w:proofErr w:type="spellEnd"/>
            <w:r w:rsidRPr="1F292E3D">
              <w:rPr>
                <w:rFonts w:eastAsia="Arial" w:cs="Arial"/>
                <w:sz w:val="22"/>
              </w:rPr>
              <w:t xml:space="preserve"> for one Valley wide geography</w:t>
            </w:r>
          </w:p>
        </w:tc>
        <w:tc>
          <w:tcPr>
            <w:tcW w:w="0" w:type="dxa"/>
            <w:vAlign w:val="center"/>
            <w:hideMark/>
          </w:tcPr>
          <w:p w14:paraId="735157EF" w14:textId="2312EA27" w:rsidR="1F292E3D" w:rsidRDefault="1F292E3D" w:rsidP="1F292E3D">
            <w:pPr>
              <w:jc w:val="left"/>
            </w:pPr>
            <w:r w:rsidRPr="1F292E3D">
              <w:rPr>
                <w:rFonts w:eastAsia="Arial" w:cs="Arial"/>
                <w:sz w:val="22"/>
              </w:rPr>
              <w:t xml:space="preserve">GitHub repo and VE model setup. Incorporate VE Framework updates, set up and function test base </w:t>
            </w:r>
            <w:proofErr w:type="spellStart"/>
            <w:r w:rsidRPr="1F292E3D">
              <w:rPr>
                <w:rFonts w:eastAsia="Arial" w:cs="Arial"/>
                <w:sz w:val="22"/>
              </w:rPr>
              <w:t>model.Install</w:t>
            </w:r>
            <w:proofErr w:type="spellEnd"/>
            <w:r w:rsidRPr="1F292E3D">
              <w:rPr>
                <w:rFonts w:eastAsia="Arial" w:cs="Arial"/>
                <w:sz w:val="22"/>
              </w:rPr>
              <w:t xml:space="preserve"> the custom </w:t>
            </w:r>
            <w:proofErr w:type="spellStart"/>
            <w:r w:rsidRPr="1F292E3D">
              <w:rPr>
                <w:rFonts w:eastAsia="Arial" w:cs="Arial"/>
                <w:sz w:val="22"/>
              </w:rPr>
              <w:t>VEPop</w:t>
            </w:r>
            <w:proofErr w:type="spellEnd"/>
            <w:r w:rsidRPr="1F292E3D">
              <w:rPr>
                <w:rFonts w:eastAsia="Arial" w:cs="Arial"/>
                <w:sz w:val="22"/>
              </w:rPr>
              <w:t xml:space="preserve"> Sim, VE ITHIM, Driverless, and WFH modules. </w:t>
            </w:r>
          </w:p>
        </w:tc>
        <w:tc>
          <w:tcPr>
            <w:tcW w:w="1200" w:type="dxa"/>
            <w:vAlign w:val="center"/>
            <w:hideMark/>
          </w:tcPr>
          <w:p w14:paraId="16666C76" w14:textId="60888059" w:rsidR="1F292E3D" w:rsidRDefault="1F292E3D" w:rsidP="1F292E3D">
            <w:pPr>
              <w:jc w:val="right"/>
            </w:pPr>
            <w:r w:rsidRPr="1F292E3D">
              <w:rPr>
                <w:rFonts w:eastAsia="Arial" w:cs="Arial"/>
                <w:sz w:val="22"/>
              </w:rPr>
              <w:t xml:space="preserve"> $39,900 </w:t>
            </w:r>
          </w:p>
        </w:tc>
      </w:tr>
      <w:tr w:rsidR="00D90A3D" w:rsidRPr="00E05774" w14:paraId="17A32030" w14:textId="77777777" w:rsidTr="000B5EFC">
        <w:trPr>
          <w:trHeight w:val="300"/>
        </w:trPr>
        <w:tc>
          <w:tcPr>
            <w:tcW w:w="0" w:type="dxa"/>
            <w:vAlign w:val="center"/>
            <w:hideMark/>
          </w:tcPr>
          <w:p w14:paraId="1ED5D161" w14:textId="5BE0E66C" w:rsidR="1F292E3D" w:rsidRDefault="1F292E3D" w:rsidP="1F292E3D">
            <w:pPr>
              <w:jc w:val="left"/>
            </w:pPr>
            <w:r w:rsidRPr="1F292E3D">
              <w:rPr>
                <w:rFonts w:eastAsia="Arial" w:cs="Arial"/>
                <w:sz w:val="22"/>
              </w:rPr>
              <w:t xml:space="preserve">Implement a VE Land Use and housing choice module. </w:t>
            </w:r>
          </w:p>
        </w:tc>
        <w:tc>
          <w:tcPr>
            <w:tcW w:w="0" w:type="dxa"/>
            <w:vAlign w:val="center"/>
            <w:hideMark/>
          </w:tcPr>
          <w:p w14:paraId="16527588" w14:textId="597AEED4" w:rsidR="1F292E3D" w:rsidRDefault="1F292E3D" w:rsidP="1F292E3D">
            <w:pPr>
              <w:jc w:val="left"/>
            </w:pPr>
            <w:r w:rsidRPr="1F292E3D">
              <w:rPr>
                <w:rFonts w:eastAsia="Arial" w:cs="Arial"/>
                <w:sz w:val="22"/>
              </w:rPr>
              <w:t xml:space="preserve">Assess options and implement best tool (assumed to be the new VE LU module). Validate the LU module in the chosen </w:t>
            </w:r>
            <w:proofErr w:type="spellStart"/>
            <w:r w:rsidRPr="1F292E3D">
              <w:rPr>
                <w:rFonts w:eastAsia="Arial" w:cs="Arial"/>
                <w:sz w:val="22"/>
              </w:rPr>
              <w:t>baseyear</w:t>
            </w:r>
            <w:proofErr w:type="spellEnd"/>
            <w:r w:rsidRPr="1F292E3D">
              <w:rPr>
                <w:rFonts w:eastAsia="Arial" w:cs="Arial"/>
                <w:sz w:val="22"/>
              </w:rPr>
              <w:t xml:space="preserve"> for the Fresno geography; finalize parameters for Valley-wide application.</w:t>
            </w:r>
          </w:p>
        </w:tc>
        <w:tc>
          <w:tcPr>
            <w:tcW w:w="1200" w:type="dxa"/>
            <w:vAlign w:val="center"/>
            <w:hideMark/>
          </w:tcPr>
          <w:p w14:paraId="1D364207" w14:textId="3198AB7D" w:rsidR="1F292E3D" w:rsidRDefault="1F292E3D" w:rsidP="1F292E3D">
            <w:pPr>
              <w:jc w:val="right"/>
            </w:pPr>
            <w:r w:rsidRPr="1F292E3D">
              <w:rPr>
                <w:rFonts w:eastAsia="Arial" w:cs="Arial"/>
                <w:sz w:val="22"/>
              </w:rPr>
              <w:t xml:space="preserve"> $100,800 </w:t>
            </w:r>
          </w:p>
        </w:tc>
      </w:tr>
      <w:tr w:rsidR="00D90A3D" w:rsidRPr="00E05774" w14:paraId="1D90106A" w14:textId="77777777" w:rsidTr="000B5EFC">
        <w:trPr>
          <w:trHeight w:val="300"/>
        </w:trPr>
        <w:tc>
          <w:tcPr>
            <w:tcW w:w="0" w:type="dxa"/>
            <w:vAlign w:val="center"/>
            <w:hideMark/>
          </w:tcPr>
          <w:p w14:paraId="1708193F" w14:textId="17A41DE2" w:rsidR="1F292E3D" w:rsidRDefault="1F292E3D" w:rsidP="1F292E3D">
            <w:pPr>
              <w:jc w:val="left"/>
            </w:pPr>
            <w:r w:rsidRPr="1F292E3D">
              <w:rPr>
                <w:rFonts w:eastAsia="Arial" w:cs="Arial"/>
                <w:sz w:val="22"/>
              </w:rPr>
              <w:t>Assemble data inputs and model parameters for base and future year(s).</w:t>
            </w:r>
          </w:p>
        </w:tc>
        <w:tc>
          <w:tcPr>
            <w:tcW w:w="0" w:type="dxa"/>
            <w:vAlign w:val="center"/>
            <w:hideMark/>
          </w:tcPr>
          <w:p w14:paraId="4B11F562" w14:textId="000335F3" w:rsidR="1F292E3D" w:rsidRDefault="1F292E3D" w:rsidP="1F292E3D">
            <w:pPr>
              <w:jc w:val="left"/>
            </w:pPr>
            <w:r w:rsidRPr="1F292E3D">
              <w:rPr>
                <w:rFonts w:eastAsia="Arial" w:cs="Arial"/>
                <w:sz w:val="22"/>
              </w:rPr>
              <w:t xml:space="preserve">Establish valley-wide zone structure starting from Fresno ABM TAZs, source and obtain </w:t>
            </w:r>
            <w:proofErr w:type="spellStart"/>
            <w:r w:rsidRPr="1F292E3D">
              <w:rPr>
                <w:rFonts w:eastAsia="Arial" w:cs="Arial"/>
                <w:sz w:val="22"/>
              </w:rPr>
              <w:t>baseyear</w:t>
            </w:r>
            <w:proofErr w:type="spellEnd"/>
            <w:r w:rsidRPr="1F292E3D">
              <w:rPr>
                <w:rFonts w:eastAsia="Arial" w:cs="Arial"/>
                <w:sz w:val="22"/>
              </w:rPr>
              <w:t xml:space="preserve"> data from Census and public info, set up and feed the VE population synthesizer. Establish Census-TAZ crosswalk for all MPO model geographies. Coordinate with the 8 MPOs to tap regional travel model socio-economic, land use, and transport inputs for one common future year baseline (assume year 2046). Collect future baseline data from all 8 MPOs, clean and standardize into the future baseline VE input data format.</w:t>
            </w:r>
          </w:p>
        </w:tc>
        <w:tc>
          <w:tcPr>
            <w:tcW w:w="1200" w:type="dxa"/>
            <w:vAlign w:val="center"/>
            <w:hideMark/>
          </w:tcPr>
          <w:p w14:paraId="12E43868" w14:textId="5253FE06" w:rsidR="1F292E3D" w:rsidRDefault="1F292E3D" w:rsidP="1F292E3D">
            <w:pPr>
              <w:jc w:val="right"/>
            </w:pPr>
            <w:r w:rsidRPr="1F292E3D">
              <w:rPr>
                <w:rFonts w:eastAsia="Arial" w:cs="Arial"/>
                <w:sz w:val="22"/>
              </w:rPr>
              <w:t xml:space="preserve"> $168,000 </w:t>
            </w:r>
          </w:p>
        </w:tc>
      </w:tr>
      <w:tr w:rsidR="00D90A3D" w:rsidRPr="00E05774" w14:paraId="6E3CC153" w14:textId="77777777" w:rsidTr="000B5EFC">
        <w:trPr>
          <w:trHeight w:val="300"/>
        </w:trPr>
        <w:tc>
          <w:tcPr>
            <w:tcW w:w="0" w:type="dxa"/>
            <w:vAlign w:val="center"/>
            <w:hideMark/>
          </w:tcPr>
          <w:p w14:paraId="57A468F1" w14:textId="578240BD" w:rsidR="1F292E3D" w:rsidRDefault="1F292E3D" w:rsidP="1F292E3D">
            <w:pPr>
              <w:jc w:val="left"/>
            </w:pPr>
            <w:r w:rsidRPr="1F292E3D">
              <w:rPr>
                <w:rFonts w:eastAsia="Arial" w:cs="Arial"/>
                <w:sz w:val="22"/>
              </w:rPr>
              <w:t xml:space="preserve">Calibrate the </w:t>
            </w:r>
            <w:proofErr w:type="spellStart"/>
            <w:r w:rsidRPr="1F292E3D">
              <w:rPr>
                <w:rFonts w:eastAsia="Arial" w:cs="Arial"/>
                <w:sz w:val="22"/>
              </w:rPr>
              <w:t>VisionEval</w:t>
            </w:r>
            <w:proofErr w:type="spellEnd"/>
            <w:r w:rsidRPr="1F292E3D">
              <w:rPr>
                <w:rFonts w:eastAsia="Arial" w:cs="Arial"/>
                <w:sz w:val="22"/>
              </w:rPr>
              <w:t xml:space="preserve"> model for the Base Year</w:t>
            </w:r>
          </w:p>
        </w:tc>
        <w:tc>
          <w:tcPr>
            <w:tcW w:w="0" w:type="dxa"/>
            <w:vAlign w:val="center"/>
            <w:hideMark/>
          </w:tcPr>
          <w:p w14:paraId="5097AA2E" w14:textId="42F76630" w:rsidR="1F292E3D" w:rsidRDefault="1F292E3D" w:rsidP="1F292E3D">
            <w:pPr>
              <w:jc w:val="left"/>
            </w:pPr>
            <w:r w:rsidRPr="1F292E3D">
              <w:rPr>
                <w:rFonts w:eastAsia="Arial" w:cs="Arial"/>
                <w:sz w:val="22"/>
              </w:rPr>
              <w:t>Confirm VE performance measures and historic year to use for calibration/validation, choose validation metrics (e.g., VMT, transit, walking/biking, etc.), iterate runs/adjustments to calibrate.</w:t>
            </w:r>
          </w:p>
        </w:tc>
        <w:tc>
          <w:tcPr>
            <w:tcW w:w="1200" w:type="dxa"/>
            <w:vAlign w:val="center"/>
            <w:hideMark/>
          </w:tcPr>
          <w:p w14:paraId="0CE59A1C" w14:textId="2D71413D" w:rsidR="1F292E3D" w:rsidRDefault="1F292E3D" w:rsidP="1F292E3D">
            <w:pPr>
              <w:jc w:val="right"/>
            </w:pPr>
            <w:r w:rsidRPr="1F292E3D">
              <w:rPr>
                <w:rFonts w:eastAsia="Arial" w:cs="Arial"/>
                <w:sz w:val="22"/>
              </w:rPr>
              <w:t xml:space="preserve"> $33,600 </w:t>
            </w:r>
          </w:p>
        </w:tc>
      </w:tr>
      <w:tr w:rsidR="00D90A3D" w:rsidRPr="00E05774" w14:paraId="1ACF589B" w14:textId="77777777" w:rsidTr="000B5EFC">
        <w:trPr>
          <w:trHeight w:val="300"/>
        </w:trPr>
        <w:tc>
          <w:tcPr>
            <w:tcW w:w="0" w:type="dxa"/>
            <w:vAlign w:val="center"/>
            <w:hideMark/>
          </w:tcPr>
          <w:p w14:paraId="7EA21E75" w14:textId="2A596E5E" w:rsidR="1F292E3D" w:rsidRDefault="1F292E3D" w:rsidP="1F292E3D">
            <w:pPr>
              <w:jc w:val="left"/>
            </w:pPr>
            <w:r w:rsidRPr="1F292E3D">
              <w:rPr>
                <w:rFonts w:eastAsia="Arial" w:cs="Arial"/>
                <w:sz w:val="22"/>
              </w:rPr>
              <w:t>Design and implement the visualizer.</w:t>
            </w:r>
          </w:p>
        </w:tc>
        <w:tc>
          <w:tcPr>
            <w:tcW w:w="0" w:type="dxa"/>
            <w:vAlign w:val="center"/>
            <w:hideMark/>
          </w:tcPr>
          <w:p w14:paraId="35EFFD75" w14:textId="17BB4459" w:rsidR="1F292E3D" w:rsidRDefault="1F292E3D" w:rsidP="1F292E3D">
            <w:pPr>
              <w:jc w:val="left"/>
            </w:pPr>
            <w:r w:rsidRPr="1F292E3D">
              <w:rPr>
                <w:rFonts w:eastAsia="Arial" w:cs="Arial"/>
                <w:sz w:val="22"/>
              </w:rPr>
              <w:t xml:space="preserve">Deploy web-accessible means of visualizing and sharing key findings. </w:t>
            </w:r>
            <w:r w:rsidRPr="1F292E3D">
              <w:rPr>
                <w:rFonts w:eastAsia="Arial" w:cs="Arial"/>
                <w:sz w:val="22"/>
              </w:rPr>
              <w:lastRenderedPageBreak/>
              <w:t>Will allow filtering to three levels: valley-wide, three main subareas (north, central, and south), and (individually) each of the eight counties.</w:t>
            </w:r>
          </w:p>
        </w:tc>
        <w:tc>
          <w:tcPr>
            <w:tcW w:w="1200" w:type="dxa"/>
            <w:vAlign w:val="center"/>
            <w:hideMark/>
          </w:tcPr>
          <w:p w14:paraId="6281681F" w14:textId="6735EF0B" w:rsidR="1F292E3D" w:rsidRDefault="1F292E3D" w:rsidP="1F292E3D">
            <w:pPr>
              <w:jc w:val="right"/>
            </w:pPr>
            <w:r w:rsidRPr="1F292E3D">
              <w:rPr>
                <w:rFonts w:eastAsia="Arial" w:cs="Arial"/>
                <w:sz w:val="22"/>
              </w:rPr>
              <w:lastRenderedPageBreak/>
              <w:t xml:space="preserve"> $29,400 </w:t>
            </w:r>
          </w:p>
        </w:tc>
      </w:tr>
      <w:tr w:rsidR="00D90A3D" w:rsidRPr="00E05774" w14:paraId="73F8B396" w14:textId="77777777" w:rsidTr="000B5EFC">
        <w:trPr>
          <w:trHeight w:val="300"/>
        </w:trPr>
        <w:tc>
          <w:tcPr>
            <w:tcW w:w="0" w:type="dxa"/>
            <w:vAlign w:val="center"/>
            <w:hideMark/>
          </w:tcPr>
          <w:p w14:paraId="16D3F816" w14:textId="1C786606" w:rsidR="1F292E3D" w:rsidRDefault="1F292E3D" w:rsidP="1F292E3D">
            <w:pPr>
              <w:jc w:val="left"/>
            </w:pPr>
            <w:r w:rsidRPr="1F292E3D">
              <w:rPr>
                <w:rFonts w:eastAsia="Arial" w:cs="Arial"/>
                <w:sz w:val="22"/>
              </w:rPr>
              <w:t>Design and run a future year scenario for sensitivity testing.</w:t>
            </w:r>
          </w:p>
        </w:tc>
        <w:tc>
          <w:tcPr>
            <w:tcW w:w="0" w:type="dxa"/>
            <w:vAlign w:val="center"/>
            <w:hideMark/>
          </w:tcPr>
          <w:p w14:paraId="6FDAA9AB" w14:textId="60B488D9" w:rsidR="1F292E3D" w:rsidRDefault="1F292E3D" w:rsidP="1F292E3D">
            <w:pPr>
              <w:jc w:val="left"/>
            </w:pPr>
            <w:r w:rsidRPr="1F292E3D">
              <w:rPr>
                <w:rFonts w:eastAsia="Arial" w:cs="Arial"/>
                <w:sz w:val="22"/>
              </w:rPr>
              <w:t>Design future LU inputs (transport inputs optional). ID VE outputs most relevant to the test. Run the test, report and interpret results using the visualizer.</w:t>
            </w:r>
          </w:p>
        </w:tc>
        <w:tc>
          <w:tcPr>
            <w:tcW w:w="1200" w:type="dxa"/>
            <w:vAlign w:val="center"/>
            <w:hideMark/>
          </w:tcPr>
          <w:p w14:paraId="5EA306A9" w14:textId="2E1B1D90" w:rsidR="1F292E3D" w:rsidRDefault="1F292E3D" w:rsidP="1F292E3D">
            <w:pPr>
              <w:jc w:val="right"/>
            </w:pPr>
            <w:r w:rsidRPr="1F292E3D">
              <w:rPr>
                <w:rFonts w:eastAsia="Arial" w:cs="Arial"/>
                <w:sz w:val="22"/>
              </w:rPr>
              <w:t xml:space="preserve"> $39,900 </w:t>
            </w:r>
          </w:p>
        </w:tc>
      </w:tr>
      <w:tr w:rsidR="00D90A3D" w:rsidRPr="00E05774" w14:paraId="7144170E" w14:textId="77777777" w:rsidTr="000B5EFC">
        <w:trPr>
          <w:trHeight w:val="300"/>
        </w:trPr>
        <w:tc>
          <w:tcPr>
            <w:tcW w:w="0" w:type="dxa"/>
            <w:vAlign w:val="center"/>
            <w:hideMark/>
          </w:tcPr>
          <w:p w14:paraId="06A61753" w14:textId="7EB27CE1" w:rsidR="1F292E3D" w:rsidRDefault="00915A89" w:rsidP="1F292E3D">
            <w:pPr>
              <w:jc w:val="left"/>
            </w:pPr>
            <w:r w:rsidRPr="1F292E3D">
              <w:rPr>
                <w:rFonts w:eastAsia="Arial" w:cs="Arial"/>
                <w:sz w:val="22"/>
              </w:rPr>
              <w:t>Document</w:t>
            </w:r>
            <w:r w:rsidR="1F292E3D" w:rsidRPr="1F292E3D">
              <w:rPr>
                <w:rFonts w:eastAsia="Arial" w:cs="Arial"/>
                <w:sz w:val="22"/>
              </w:rPr>
              <w:t xml:space="preserve"> tool implementation process, inputs and source data, calibration/validation results, and base and future scenario outputs.</w:t>
            </w:r>
          </w:p>
        </w:tc>
        <w:tc>
          <w:tcPr>
            <w:tcW w:w="0" w:type="dxa"/>
            <w:vAlign w:val="center"/>
            <w:hideMark/>
          </w:tcPr>
          <w:p w14:paraId="27C7DAAE" w14:textId="29E093CD" w:rsidR="1F292E3D" w:rsidRDefault="1F292E3D" w:rsidP="1F292E3D">
            <w:pPr>
              <w:jc w:val="left"/>
            </w:pPr>
            <w:r w:rsidRPr="1F292E3D">
              <w:rPr>
                <w:rFonts w:eastAsia="Arial" w:cs="Arial"/>
                <w:sz w:val="22"/>
              </w:rPr>
              <w:t>Written documen</w:t>
            </w:r>
            <w:r w:rsidR="006B716A">
              <w:rPr>
                <w:rFonts w:eastAsia="Arial" w:cs="Arial"/>
                <w:sz w:val="22"/>
              </w:rPr>
              <w:t>ta</w:t>
            </w:r>
            <w:r w:rsidRPr="1F292E3D">
              <w:rPr>
                <w:rFonts w:eastAsia="Arial" w:cs="Arial"/>
                <w:sz w:val="22"/>
              </w:rPr>
              <w:t>ti</w:t>
            </w:r>
            <w:r w:rsidR="00915A89">
              <w:rPr>
                <w:rFonts w:eastAsia="Arial" w:cs="Arial"/>
                <w:sz w:val="22"/>
              </w:rPr>
              <w:t>on</w:t>
            </w:r>
            <w:r w:rsidRPr="1F292E3D">
              <w:rPr>
                <w:rFonts w:eastAsia="Arial" w:cs="Arial"/>
                <w:sz w:val="22"/>
              </w:rPr>
              <w:t xml:space="preserve"> with chapters explaining model geography, inputs, calibration and validation, and outputs. Documentation includes GitHub repo management with core software to align with FHWA and a custom repo with the FresnoCOG installation and description of the Valley inputs.</w:t>
            </w:r>
          </w:p>
        </w:tc>
        <w:tc>
          <w:tcPr>
            <w:tcW w:w="1200" w:type="dxa"/>
            <w:vAlign w:val="center"/>
            <w:hideMark/>
          </w:tcPr>
          <w:p w14:paraId="4F647EAA" w14:textId="27912457" w:rsidR="1F292E3D" w:rsidRDefault="1F292E3D" w:rsidP="1F292E3D">
            <w:pPr>
              <w:jc w:val="right"/>
            </w:pPr>
            <w:r w:rsidRPr="1F292E3D">
              <w:rPr>
                <w:rFonts w:eastAsia="Arial" w:cs="Arial"/>
                <w:sz w:val="22"/>
              </w:rPr>
              <w:t xml:space="preserve"> $29,400 </w:t>
            </w:r>
          </w:p>
        </w:tc>
      </w:tr>
      <w:tr w:rsidR="00D90A3D" w:rsidRPr="00E05774" w14:paraId="7B89F0AC" w14:textId="77777777" w:rsidTr="000B5EFC">
        <w:trPr>
          <w:trHeight w:val="300"/>
        </w:trPr>
        <w:tc>
          <w:tcPr>
            <w:tcW w:w="0" w:type="dxa"/>
            <w:vAlign w:val="center"/>
          </w:tcPr>
          <w:p w14:paraId="7A423741" w14:textId="7D72BEF2" w:rsidR="1F292E3D" w:rsidRDefault="1F292E3D" w:rsidP="1F292E3D">
            <w:pPr>
              <w:jc w:val="left"/>
            </w:pPr>
            <w:r w:rsidRPr="1F292E3D">
              <w:rPr>
                <w:rFonts w:eastAsia="Arial" w:cs="Arial"/>
                <w:sz w:val="22"/>
              </w:rPr>
              <w:t xml:space="preserve">Train 8 SJV COGs staff in the development, use, and maintenance of the model/tools including training in R for </w:t>
            </w:r>
            <w:proofErr w:type="spellStart"/>
            <w:r w:rsidRPr="1F292E3D">
              <w:rPr>
                <w:rFonts w:eastAsia="Arial" w:cs="Arial"/>
                <w:sz w:val="22"/>
              </w:rPr>
              <w:t>VisionEval</w:t>
            </w:r>
            <w:proofErr w:type="spellEnd"/>
            <w:r w:rsidRPr="1F292E3D">
              <w:rPr>
                <w:rFonts w:eastAsia="Arial" w:cs="Arial"/>
                <w:sz w:val="22"/>
              </w:rPr>
              <w:t>.</w:t>
            </w:r>
          </w:p>
        </w:tc>
        <w:tc>
          <w:tcPr>
            <w:tcW w:w="0" w:type="dxa"/>
            <w:vAlign w:val="center"/>
          </w:tcPr>
          <w:p w14:paraId="59037BBD" w14:textId="6FA29AE9" w:rsidR="1F292E3D" w:rsidRDefault="1F292E3D" w:rsidP="1F292E3D">
            <w:pPr>
              <w:jc w:val="left"/>
            </w:pPr>
            <w:r w:rsidRPr="1F292E3D">
              <w:rPr>
                <w:rFonts w:eastAsia="Arial" w:cs="Arial"/>
                <w:sz w:val="22"/>
              </w:rPr>
              <w:t>Training on GitHub management to update software packages, install and build VE installations. Training with guidance (provided via Video and PPT) on installing, customizing inputs, running, and extracting results. Key R commands and helper scripts can be provided. Assumes 8 contact hours, slide decks to guide the training, and updating the documentation based on questions received during training.</w:t>
            </w:r>
          </w:p>
        </w:tc>
        <w:tc>
          <w:tcPr>
            <w:tcW w:w="1200" w:type="dxa"/>
            <w:vAlign w:val="center"/>
          </w:tcPr>
          <w:p w14:paraId="33DA5379" w14:textId="6B269B94" w:rsidR="1F292E3D" w:rsidRDefault="1F292E3D" w:rsidP="1F292E3D">
            <w:pPr>
              <w:jc w:val="right"/>
            </w:pPr>
            <w:r w:rsidRPr="1F292E3D">
              <w:rPr>
                <w:rFonts w:eastAsia="Arial" w:cs="Arial"/>
                <w:sz w:val="22"/>
              </w:rPr>
              <w:t xml:space="preserve"> $39,900 </w:t>
            </w:r>
          </w:p>
        </w:tc>
      </w:tr>
      <w:tr w:rsidR="00D90A3D" w:rsidRPr="001C74E8" w14:paraId="7207440D" w14:textId="77777777" w:rsidTr="000B5EFC">
        <w:trPr>
          <w:trHeight w:val="300"/>
        </w:trPr>
        <w:tc>
          <w:tcPr>
            <w:tcW w:w="0" w:type="dxa"/>
            <w:vAlign w:val="top"/>
            <w:hideMark/>
          </w:tcPr>
          <w:p w14:paraId="04F53819" w14:textId="4AA8DBA0" w:rsidR="1F292E3D" w:rsidRDefault="1F292E3D" w:rsidP="1F292E3D">
            <w:r w:rsidRPr="1F292E3D">
              <w:rPr>
                <w:rFonts w:eastAsia="Arial" w:cs="Arial"/>
                <w:sz w:val="22"/>
              </w:rPr>
              <w:t xml:space="preserve"> </w:t>
            </w:r>
          </w:p>
        </w:tc>
        <w:tc>
          <w:tcPr>
            <w:tcW w:w="0" w:type="dxa"/>
            <w:vAlign w:val="top"/>
            <w:hideMark/>
          </w:tcPr>
          <w:p w14:paraId="63810FDA" w14:textId="503108D5" w:rsidR="1F292E3D" w:rsidRDefault="1F292E3D" w:rsidP="1F292E3D">
            <w:r w:rsidRPr="1F292E3D">
              <w:rPr>
                <w:rFonts w:eastAsia="Arial" w:cs="Arial"/>
                <w:sz w:val="22"/>
              </w:rPr>
              <w:t xml:space="preserve"> </w:t>
            </w:r>
          </w:p>
        </w:tc>
        <w:tc>
          <w:tcPr>
            <w:tcW w:w="1200" w:type="dxa"/>
            <w:vAlign w:val="center"/>
            <w:hideMark/>
          </w:tcPr>
          <w:p w14:paraId="3A9A5A66" w14:textId="3E43CFA8" w:rsidR="1F292E3D" w:rsidRDefault="1F292E3D" w:rsidP="1F292E3D">
            <w:r w:rsidRPr="1F292E3D">
              <w:rPr>
                <w:rFonts w:eastAsia="Arial" w:cs="Arial"/>
                <w:b/>
                <w:bCs/>
                <w:sz w:val="22"/>
              </w:rPr>
              <w:t xml:space="preserve"> $500,010</w:t>
            </w:r>
          </w:p>
        </w:tc>
      </w:tr>
    </w:tbl>
    <w:p w14:paraId="2A5340D1" w14:textId="77777777" w:rsidR="00E05774" w:rsidRDefault="00E05774" w:rsidP="00E05774">
      <w:pPr>
        <w:pStyle w:val="BodyParagraph"/>
      </w:pPr>
    </w:p>
    <w:p w14:paraId="51C0AF69" w14:textId="77777777" w:rsidR="004C2D9F" w:rsidRDefault="004C2D9F" w:rsidP="00180CA5">
      <w:pPr>
        <w:pStyle w:val="Heading3"/>
        <w:sectPr w:rsidR="004C2D9F" w:rsidSect="00C46312">
          <w:headerReference w:type="even" r:id="rId30"/>
          <w:headerReference w:type="default" r:id="rId31"/>
          <w:footerReference w:type="even" r:id="rId32"/>
          <w:footerReference w:type="default" r:id="rId33"/>
          <w:type w:val="oddPage"/>
          <w:pgSz w:w="12240" w:h="15840" w:code="1"/>
          <w:pgMar w:top="2520" w:right="1440" w:bottom="1440" w:left="1440" w:header="720" w:footer="720" w:gutter="0"/>
          <w:pgBorders w:offsetFrom="page">
            <w:top w:val="none" w:sz="0" w:space="6" w:color="000000"/>
            <w:left w:val="none" w:sz="0" w:space="6" w:color="000000"/>
            <w:bottom w:val="none" w:sz="0" w:space="14" w:color="000000"/>
            <w:right w:val="none" w:sz="0" w:space="0" w:color="000000"/>
          </w:pgBorders>
          <w:pgNumType w:start="1"/>
          <w:cols w:space="720"/>
          <w:docGrid w:linePitch="360"/>
        </w:sectPr>
      </w:pPr>
      <w:bookmarkStart w:id="17" w:name="_Toc181004151"/>
    </w:p>
    <w:p w14:paraId="06AF2F1B" w14:textId="2BE93920" w:rsidR="007438F2" w:rsidRDefault="007438F2" w:rsidP="00180CA5">
      <w:pPr>
        <w:pStyle w:val="Heading3"/>
      </w:pPr>
      <w:bookmarkStart w:id="18" w:name="_Toc196224250"/>
      <w:r>
        <w:lastRenderedPageBreak/>
        <w:t>Schedule Assumptions</w:t>
      </w:r>
      <w:bookmarkEnd w:id="18"/>
    </w:p>
    <w:p w14:paraId="7AA2C6B4" w14:textId="382E0B3D" w:rsidR="00180CA5" w:rsidRDefault="1F292E3D" w:rsidP="00180CA5">
      <w:pPr>
        <w:pStyle w:val="BodyParagraph"/>
      </w:pPr>
      <w:r>
        <w:t>The project will require six calendar months to complete. The schedule below assumes a July 1, 2025 NTP and completion by December 31, 2025. The schedule would need to be adjusted if NTP occurs later.</w:t>
      </w:r>
    </w:p>
    <w:p w14:paraId="785E6628" w14:textId="17F814A6" w:rsidR="00152760" w:rsidRDefault="004F52BC" w:rsidP="1F292E3D">
      <w:r>
        <w:rPr>
          <w:noProof/>
        </w:rPr>
        <w:drawing>
          <wp:inline distT="0" distB="0" distL="0" distR="0" wp14:anchorId="792BF3B1" wp14:editId="38A9739B">
            <wp:extent cx="7543800" cy="2819400"/>
            <wp:effectExtent l="0" t="0" r="0" b="0"/>
            <wp:docPr id="2118427939" name="Picture 211842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543800" cy="2819400"/>
                    </a:xfrm>
                    <a:prstGeom prst="rect">
                      <a:avLst/>
                    </a:prstGeom>
                  </pic:spPr>
                </pic:pic>
              </a:graphicData>
            </a:graphic>
          </wp:inline>
        </w:drawing>
      </w:r>
    </w:p>
    <w:p w14:paraId="68162FCD" w14:textId="77777777" w:rsidR="004C2D9F" w:rsidRDefault="004C2D9F" w:rsidP="00180CA5">
      <w:pPr>
        <w:pStyle w:val="BodyParagraph"/>
        <w:sectPr w:rsidR="004C2D9F" w:rsidSect="004C2D9F">
          <w:type w:val="oddPage"/>
          <w:pgSz w:w="15840" w:h="12240" w:orient="landscape" w:code="1"/>
          <w:pgMar w:top="1440" w:right="2520" w:bottom="1440" w:left="1440" w:header="720" w:footer="720" w:gutter="0"/>
          <w:pgBorders w:offsetFrom="page">
            <w:top w:val="none" w:sz="0" w:space="6" w:color="000000"/>
            <w:left w:val="none" w:sz="0" w:space="6" w:color="000000"/>
            <w:bottom w:val="none" w:sz="0" w:space="14" w:color="000000"/>
            <w:right w:val="none" w:sz="0" w:space="0" w:color="000000"/>
          </w:pgBorders>
          <w:pgNumType w:start="1"/>
          <w:cols w:space="720"/>
          <w:docGrid w:linePitch="360"/>
        </w:sectPr>
      </w:pPr>
    </w:p>
    <w:p w14:paraId="3AA20FED" w14:textId="624831E6" w:rsidR="00C138A9" w:rsidRPr="006B79B6" w:rsidRDefault="00C138A9" w:rsidP="00C138A9">
      <w:pPr>
        <w:pStyle w:val="Heading1"/>
        <w:numPr>
          <w:ilvl w:val="0"/>
          <w:numId w:val="2"/>
        </w:numPr>
        <w:ind w:left="0" w:firstLine="0"/>
      </w:pPr>
      <w:bookmarkStart w:id="19" w:name="_Toc196224251"/>
      <w:r>
        <w:lastRenderedPageBreak/>
        <w:t>Sample RSG Visioneval projects</w:t>
      </w:r>
      <w:bookmarkEnd w:id="17"/>
      <w:bookmarkEnd w:id="19"/>
    </w:p>
    <w:p w14:paraId="57A0522D" w14:textId="48720D92" w:rsidR="009F1A70" w:rsidRDefault="009F1A70" w:rsidP="009F1A70">
      <w:pPr>
        <w:pStyle w:val="BodyParagraph"/>
      </w:pPr>
      <w:proofErr w:type="spellStart"/>
      <w:r>
        <w:t>VisionEval</w:t>
      </w:r>
      <w:proofErr w:type="spellEnd"/>
      <w:r>
        <w:t xml:space="preserve"> is an open-source software that RSG has been actively working with, but it is licensed to be freely available and able to be run on Windows systems using R software. RSG did not create the software, but the firm contains national experts in the design, development, and application of it.</w:t>
      </w:r>
    </w:p>
    <w:p w14:paraId="7649D5BB" w14:textId="5AE328C7" w:rsidR="00C138A9" w:rsidRDefault="00C138A9" w:rsidP="00C138A9">
      <w:pPr>
        <w:pStyle w:val="Heading4"/>
      </w:pPr>
      <w:r>
        <w:t>Known Applications of Strategic Models</w:t>
      </w:r>
    </w:p>
    <w:p w14:paraId="09995096" w14:textId="77777777" w:rsidR="00C138A9" w:rsidRDefault="00C138A9" w:rsidP="00C138A9">
      <w:pPr>
        <w:pStyle w:val="BodyParagraph"/>
      </w:pPr>
      <w:r>
        <w:fldChar w:fldCharType="begin"/>
      </w:r>
      <w:r>
        <w:instrText xml:space="preserve"> REF _Ref180762072 \h </w:instrText>
      </w:r>
      <w:r>
        <w:fldChar w:fldCharType="separate"/>
      </w:r>
      <w:r>
        <w:t xml:space="preserve">Figure </w:t>
      </w:r>
      <w:r>
        <w:rPr>
          <w:noProof/>
        </w:rPr>
        <w:t>3</w:t>
      </w:r>
      <w:r>
        <w:fldChar w:fldCharType="end"/>
      </w:r>
      <w:r>
        <w:t xml:space="preserve"> shows the known applications of strategic models in the US that include both statewide DOT applications and regional, MPO, applications. </w:t>
      </w:r>
    </w:p>
    <w:p w14:paraId="59B54276" w14:textId="7CEA9AC8" w:rsidR="00C138A9" w:rsidRDefault="00C138A9" w:rsidP="00C138A9">
      <w:pPr>
        <w:pStyle w:val="Caption"/>
      </w:pPr>
      <w:bookmarkStart w:id="20" w:name="_Ref180762072"/>
      <w:bookmarkStart w:id="21" w:name="_Toc181004154"/>
      <w:bookmarkStart w:id="22" w:name="_Toc196224254"/>
      <w:r>
        <w:t xml:space="preserve">Figure </w:t>
      </w:r>
      <w:r>
        <w:fldChar w:fldCharType="begin"/>
      </w:r>
      <w:r>
        <w:instrText>SEQ Figure \* ARABIC</w:instrText>
      </w:r>
      <w:r>
        <w:fldChar w:fldCharType="separate"/>
      </w:r>
      <w:r w:rsidR="00826CFA">
        <w:rPr>
          <w:noProof/>
        </w:rPr>
        <w:t>4</w:t>
      </w:r>
      <w:r>
        <w:fldChar w:fldCharType="end"/>
      </w:r>
      <w:bookmarkEnd w:id="20"/>
      <w:r>
        <w:t>: Applications of Strategic Models</w:t>
      </w:r>
      <w:bookmarkEnd w:id="21"/>
      <w:bookmarkEnd w:id="22"/>
    </w:p>
    <w:p w14:paraId="19C39D02" w14:textId="77777777" w:rsidR="00C138A9" w:rsidRDefault="00C138A9" w:rsidP="00C138A9">
      <w:pPr>
        <w:pStyle w:val="BodyParagraph"/>
      </w:pPr>
      <w:r w:rsidRPr="00B55364">
        <w:rPr>
          <w:noProof/>
        </w:rPr>
        <w:drawing>
          <wp:inline distT="0" distB="0" distL="0" distR="0" wp14:anchorId="41B41D8D" wp14:editId="35DE7AB2">
            <wp:extent cx="5943600" cy="4044315"/>
            <wp:effectExtent l="0" t="0" r="0" b="0"/>
            <wp:docPr id="1456191371" name="Picture 6"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91371" name="Picture 6" descr="A map of the united stat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044315"/>
                    </a:xfrm>
                    <a:prstGeom prst="rect">
                      <a:avLst/>
                    </a:prstGeom>
                    <a:noFill/>
                    <a:ln>
                      <a:noFill/>
                    </a:ln>
                  </pic:spPr>
                </pic:pic>
              </a:graphicData>
            </a:graphic>
          </wp:inline>
        </w:drawing>
      </w:r>
    </w:p>
    <w:p w14:paraId="006B1E09" w14:textId="77777777" w:rsidR="00C138A9" w:rsidRDefault="00C138A9" w:rsidP="00C138A9">
      <w:pPr>
        <w:pStyle w:val="SourceNote"/>
      </w:pPr>
      <w:r>
        <w:t>Source: RSG</w:t>
      </w:r>
    </w:p>
    <w:p w14:paraId="286BFD9D" w14:textId="77777777" w:rsidR="00C138A9" w:rsidRDefault="00C138A9" w:rsidP="00C138A9">
      <w:pPr>
        <w:pStyle w:val="BodyParagraph"/>
      </w:pPr>
      <w:r>
        <w:t xml:space="preserve">The following summarizes several of the development and application efforts that RSG has been involved regarding strategic models. </w:t>
      </w:r>
    </w:p>
    <w:p w14:paraId="1FAEF21D" w14:textId="6DE9C5DA" w:rsidR="00C138A9" w:rsidRPr="006161AB" w:rsidRDefault="00C138A9" w:rsidP="00C138A9">
      <w:pPr>
        <w:pStyle w:val="Heading5"/>
      </w:pPr>
      <w:r>
        <w:lastRenderedPageBreak/>
        <w:t>Baltimore Metropolitan Council</w:t>
      </w:r>
    </w:p>
    <w:p w14:paraId="17FB02F0" w14:textId="59E30E6E" w:rsidR="00793FA4" w:rsidRPr="001C3B72" w:rsidRDefault="00C138A9" w:rsidP="00C138A9">
      <w:pPr>
        <w:pStyle w:val="BodyParagraph"/>
      </w:pPr>
      <w:r w:rsidRPr="001C3B72">
        <w:t xml:space="preserve">RSG </w:t>
      </w:r>
      <w:r w:rsidR="00E80C32" w:rsidRPr="001C3B72">
        <w:t>is</w:t>
      </w:r>
      <w:r w:rsidRPr="001C3B72">
        <w:t xml:space="preserve"> the lead technical subconsultant </w:t>
      </w:r>
      <w:r w:rsidR="00740C82" w:rsidRPr="001C3B72">
        <w:t xml:space="preserve">supporting BMC in their scenario planning process prior to a long-range plan update. </w:t>
      </w:r>
      <w:r w:rsidR="0014798A" w:rsidRPr="001C3B72">
        <w:t>RSG assisted the MPO in the development of VE inputs to calibrate the results of the VE model to align with recent travel behavior</w:t>
      </w:r>
      <w:r w:rsidR="00793FA4" w:rsidRPr="001C3B72">
        <w:t xml:space="preserve"> surveys. RSG develop</w:t>
      </w:r>
      <w:r w:rsidR="00A84CD2">
        <w:t>ed</w:t>
      </w:r>
      <w:r w:rsidR="00793FA4" w:rsidRPr="001C3B72">
        <w:t xml:space="preserve"> a run script to use the Teleworking module and the Driverless vehicle modules. RSG develop</w:t>
      </w:r>
      <w:r w:rsidR="00A84CD2">
        <w:t>ed</w:t>
      </w:r>
      <w:r w:rsidR="00793FA4" w:rsidRPr="001C3B72">
        <w:t xml:space="preserve"> a Tableau interface to enable the MPO to explore the results of hundreds of model runs. RSG also assisted develop a configuration script to </w:t>
      </w:r>
      <w:r w:rsidR="00E8227E" w:rsidRPr="001C3B72">
        <w:t xml:space="preserve">create 1500 unique scenarios and run those scenarios on Virtual Machines. RSG assisted with queries to extract key performance measures from the model runs and display the results for analysis. The </w:t>
      </w:r>
      <w:proofErr w:type="spellStart"/>
      <w:r w:rsidR="00E8227E" w:rsidRPr="001C3B72">
        <w:t>VisionEval</w:t>
      </w:r>
      <w:proofErr w:type="spellEnd"/>
      <w:r w:rsidR="00E8227E" w:rsidRPr="001C3B72">
        <w:t xml:space="preserve"> is coordinated to account for housing and transportation costs and then used in a manner that can inform the </w:t>
      </w:r>
      <w:proofErr w:type="spellStart"/>
      <w:r w:rsidR="001C3B72" w:rsidRPr="001C3B72">
        <w:t>InSITE</w:t>
      </w:r>
      <w:proofErr w:type="spellEnd"/>
      <w:r w:rsidR="001C3B72" w:rsidRPr="001C3B72">
        <w:t xml:space="preserve"> Activity-Based Model. </w:t>
      </w:r>
    </w:p>
    <w:p w14:paraId="51ED284F" w14:textId="77777777" w:rsidR="00C138A9" w:rsidRPr="006161AB" w:rsidRDefault="00C138A9" w:rsidP="00C138A9">
      <w:pPr>
        <w:pStyle w:val="Heading5"/>
      </w:pPr>
      <w:r w:rsidRPr="00660DAB">
        <w:t xml:space="preserve">FHWA Pooled </w:t>
      </w:r>
      <w:r w:rsidRPr="006161AB">
        <w:t>Funds </w:t>
      </w:r>
    </w:p>
    <w:p w14:paraId="12302D7D" w14:textId="77777777" w:rsidR="00C138A9" w:rsidRDefault="00C138A9" w:rsidP="00C138A9">
      <w:pPr>
        <w:pStyle w:val="BodyParagraph"/>
        <w:rPr>
          <w:bCs/>
          <w:iCs/>
        </w:rPr>
      </w:pPr>
      <w:r w:rsidRPr="00B40A9E">
        <w:t xml:space="preserve">RSG </w:t>
      </w:r>
      <w:r>
        <w:t xml:space="preserve">was the lead </w:t>
      </w:r>
      <w:r w:rsidRPr="00B40A9E">
        <w:t xml:space="preserve">technical subconsultant </w:t>
      </w:r>
      <w:r w:rsidRPr="00B40A9E">
        <w:rPr>
          <w:bCs/>
          <w:iCs/>
        </w:rPr>
        <w:t>who performed</w:t>
      </w:r>
      <w:r w:rsidRPr="00B40A9E">
        <w:t xml:space="preserve"> the R scripting and tasks for the FHWA Pooled Fund supporting the continued growth and development of </w:t>
      </w:r>
      <w:proofErr w:type="spellStart"/>
      <w:r w:rsidRPr="00B40A9E">
        <w:t>VisionEval</w:t>
      </w:r>
      <w:proofErr w:type="spellEnd"/>
      <w:r w:rsidRPr="00B40A9E">
        <w:t xml:space="preserve">. The three-year contract </w:t>
      </w:r>
      <w:r>
        <w:t xml:space="preserve">concluded in 2022 </w:t>
      </w:r>
      <w:r w:rsidRPr="00B40A9E">
        <w:rPr>
          <w:bCs/>
          <w:iCs/>
        </w:rPr>
        <w:t>included</w:t>
      </w:r>
      <w:r w:rsidRPr="00B40A9E">
        <w:t xml:space="preserve"> tasks associated with improving user documentation, creating scripts to partially automate inputs, </w:t>
      </w:r>
      <w:r w:rsidRPr="00B40A9E">
        <w:rPr>
          <w:bCs/>
          <w:iCs/>
        </w:rPr>
        <w:t>improving</w:t>
      </w:r>
      <w:r w:rsidRPr="00B40A9E">
        <w:t xml:space="preserve"> the use of local data in the estimation process, </w:t>
      </w:r>
      <w:r w:rsidRPr="00B40A9E">
        <w:rPr>
          <w:bCs/>
          <w:iCs/>
        </w:rPr>
        <w:t>creating</w:t>
      </w:r>
      <w:r w:rsidRPr="00B40A9E">
        <w:t xml:space="preserve"> outputs for equity analysis, </w:t>
      </w:r>
      <w:r w:rsidRPr="00B40A9E">
        <w:rPr>
          <w:bCs/>
          <w:iCs/>
        </w:rPr>
        <w:t>developing</w:t>
      </w:r>
      <w:r w:rsidRPr="00B40A9E">
        <w:t xml:space="preserve"> a mechanism to transfer externally produced synthetic population into </w:t>
      </w:r>
      <w:proofErr w:type="spellStart"/>
      <w:r w:rsidRPr="00B40A9E">
        <w:t>VisionEval</w:t>
      </w:r>
      <w:proofErr w:type="spellEnd"/>
      <w:r w:rsidRPr="00B40A9E">
        <w:t xml:space="preserve">, and </w:t>
      </w:r>
      <w:r w:rsidRPr="00B40A9E">
        <w:rPr>
          <w:bCs/>
          <w:iCs/>
        </w:rPr>
        <w:t>developing</w:t>
      </w:r>
      <w:r w:rsidRPr="00B40A9E">
        <w:t xml:space="preserve"> a linkage to stand</w:t>
      </w:r>
      <w:r w:rsidRPr="00B40A9E">
        <w:rPr>
          <w:bCs/>
          <w:iCs/>
        </w:rPr>
        <w:t>-</w:t>
      </w:r>
      <w:r w:rsidRPr="00B40A9E">
        <w:t>alone health models (e.g., ITHIM).</w:t>
      </w:r>
      <w:r>
        <w:t xml:space="preserve"> RSG updated the GitHub website and created the user guide at </w:t>
      </w:r>
      <w:hyperlink r:id="rId36" w:history="1">
        <w:r w:rsidRPr="00E43937">
          <w:rPr>
            <w:rStyle w:val="Hyperlink"/>
          </w:rPr>
          <w:t>https://visioneval.github.io/docs/</w:t>
        </w:r>
      </w:hyperlink>
      <w:r>
        <w:t xml:space="preserve"> </w:t>
      </w:r>
    </w:p>
    <w:p w14:paraId="5D4DDAD7" w14:textId="77777777" w:rsidR="00C138A9" w:rsidRPr="00367852" w:rsidRDefault="00C138A9" w:rsidP="00C138A9">
      <w:pPr>
        <w:pStyle w:val="Heading5"/>
      </w:pPr>
      <w:r w:rsidRPr="00660DAB">
        <w:t>CCPRC Strategic Planning</w:t>
      </w:r>
      <w:r>
        <w:t xml:space="preserve"> Model</w:t>
      </w:r>
    </w:p>
    <w:p w14:paraId="0ED1606C" w14:textId="77777777" w:rsidR="00C138A9" w:rsidRDefault="00C138A9" w:rsidP="00C138A9">
      <w:pPr>
        <w:pStyle w:val="BodyParagraph"/>
      </w:pPr>
      <w:r w:rsidRPr="00660DAB">
        <w:t xml:space="preserve">RSG applied the </w:t>
      </w:r>
      <w:proofErr w:type="spellStart"/>
      <w:r w:rsidRPr="00660DAB">
        <w:t>VisionEval</w:t>
      </w:r>
      <w:proofErr w:type="spellEnd"/>
      <w:r w:rsidRPr="00660DAB">
        <w:t xml:space="preserve"> Regional Strategic Planning Model (</w:t>
      </w:r>
      <w:proofErr w:type="spellStart"/>
      <w:r>
        <w:t>VisionEval</w:t>
      </w:r>
      <w:proofErr w:type="spellEnd"/>
      <w:r w:rsidRPr="00660DAB">
        <w:t xml:space="preserve">-RSPM) in the northwestern corner of Vermont </w:t>
      </w:r>
      <w:r>
        <w:t>whic</w:t>
      </w:r>
      <w:r w:rsidRPr="00660DAB">
        <w:t xml:space="preserve">h was used to evaluate a wide range of policy and pricing investment scenarios as part of an early planning effort </w:t>
      </w:r>
      <w:r>
        <w:t>before</w:t>
      </w:r>
      <w:r w:rsidRPr="00660DAB">
        <w:t xml:space="preserve"> the next update to the long range plan. The model developed a synthetic population calibrated to income, household size</w:t>
      </w:r>
      <w:r>
        <w:t>,</w:t>
      </w:r>
      <w:r w:rsidRPr="00660DAB">
        <w:t xml:space="preserve"> and vehicle ownership rates, and estimated daily household VMT for the six-county region. The tool evaluated effects of significant shifts to active travel modes, increasing transit access, land use density and diversity, ride hailing accessibility, and various pricing options to efficiently identify a range of possible futures and goal seek which strategies lead to desirable future outcomes. Two different land use strategies were included and all scenarios were evaluated using the multirun scenario viewer as well as a TMIP-EMAT application. The effort led to a Transportation Demand Management investment ‘bundle’ that is informing subsequent investigations to identify the investments necessary to implement and achieve these VMT reductions.</w:t>
      </w:r>
    </w:p>
    <w:p w14:paraId="116CBB72" w14:textId="77777777" w:rsidR="00C138A9" w:rsidRPr="00660DAB" w:rsidRDefault="00C138A9" w:rsidP="00C138A9">
      <w:pPr>
        <w:pStyle w:val="BodyParagraph"/>
      </w:pPr>
      <w:r>
        <w:t xml:space="preserve">As part of the RSPM application, RSG created a visualizer summarizing data at the household level. The purpose of the tool is to summarize and visualize the disaggregated household output data from VE-RSPM modeled scenarios. The summary data tab summarizes individual </w:t>
      </w:r>
      <w:r>
        <w:lastRenderedPageBreak/>
        <w:t xml:space="preserve">household records from the scenarios and allows the user to interactively select different household characteristics (personas) and observe key summary metrics. The map tab displays the same household-level data but averaged and displayed geographically at the TAZ level. This allows the users to observe average spatial differences between the various model scenarios. If desired, the user can download a shapefile of these map layers for their own analysis or display. </w:t>
      </w:r>
      <w:hyperlink r:id="rId37" w:history="1">
        <w:r w:rsidRPr="00EF0A6B">
          <w:rPr>
            <w:rStyle w:val="Hyperlink"/>
          </w:rPr>
          <w:t>https://rsginc.shinyapps.io/CCRPC_HH_Explorer/</w:t>
        </w:r>
      </w:hyperlink>
      <w:r>
        <w:t xml:space="preserve"> </w:t>
      </w:r>
    </w:p>
    <w:p w14:paraId="135FBE56" w14:textId="43F9567B" w:rsidR="00C138A9" w:rsidRPr="00660DAB" w:rsidRDefault="00C138A9" w:rsidP="00C138A9">
      <w:pPr>
        <w:pStyle w:val="BodyParagraph"/>
      </w:pPr>
      <w:r w:rsidRPr="00660DAB">
        <w:t xml:space="preserve">A second phase of the project created the first ever linkage to a trip-based travel demand model. Using the preferred scenario investments from the Strategic Model, a zone by zone change in daily VMT was translated to a trip generation rate in the assignment model. The innovative linkage allowed the Strategic Model policies to be directly modeled in the assignment model and more readily observe volume and operational </w:t>
      </w:r>
      <w:r w:rsidR="00AF3298" w:rsidRPr="00660DAB">
        <w:t>effects</w:t>
      </w:r>
      <w:r w:rsidRPr="00660DAB">
        <w:t xml:space="preserve"> on the transportation network.</w:t>
      </w:r>
    </w:p>
    <w:p w14:paraId="5B15AC60" w14:textId="77777777" w:rsidR="00C138A9" w:rsidRPr="002F3D61" w:rsidRDefault="00C138A9" w:rsidP="00C138A9">
      <w:pPr>
        <w:pStyle w:val="Heading5"/>
      </w:pPr>
      <w:r w:rsidRPr="00660DAB">
        <w:t>Incorporating Automated Vehicles into Scenario Planning Models (</w:t>
      </w:r>
      <w:proofErr w:type="spellStart"/>
      <w:r w:rsidRPr="002F3D61">
        <w:t>VisionEval</w:t>
      </w:r>
      <w:proofErr w:type="spellEnd"/>
      <w:r w:rsidRPr="002F3D61">
        <w:t>-RSPM) </w:t>
      </w:r>
    </w:p>
    <w:p w14:paraId="6982D57C" w14:textId="77777777" w:rsidR="00C138A9" w:rsidRPr="008C5A40" w:rsidRDefault="00C138A9" w:rsidP="00C138A9">
      <w:pPr>
        <w:pStyle w:val="BodyParagraph"/>
        <w:rPr>
          <w:bCs/>
          <w:iCs/>
        </w:rPr>
      </w:pPr>
      <w:r w:rsidRPr="008C5A40">
        <w:t>RSG</w:t>
      </w:r>
      <w:r>
        <w:t xml:space="preserve">, as a subconsultant, </w:t>
      </w:r>
      <w:r w:rsidRPr="008C5A40">
        <w:t xml:space="preserve">led the design and implementation of model enhancements to incorporate Level </w:t>
      </w:r>
      <w:r>
        <w:rPr>
          <w:bCs/>
          <w:iCs/>
        </w:rPr>
        <w:t>3-</w:t>
      </w:r>
      <w:r w:rsidRPr="008C5A40">
        <w:rPr>
          <w:bCs/>
          <w:iCs/>
        </w:rPr>
        <w:t xml:space="preserve">connected vehicles with advanced driver assistance systems and Level </w:t>
      </w:r>
      <w:r>
        <w:rPr>
          <w:bCs/>
          <w:iCs/>
        </w:rPr>
        <w:t>5-</w:t>
      </w:r>
      <w:r w:rsidRPr="008C5A40">
        <w:rPr>
          <w:bCs/>
          <w:iCs/>
        </w:rPr>
        <w:t xml:space="preserve">connected autonomous vehicles in a </w:t>
      </w:r>
      <w:proofErr w:type="spellStart"/>
      <w:r w:rsidRPr="008C5A40">
        <w:rPr>
          <w:bCs/>
          <w:iCs/>
        </w:rPr>
        <w:t>VisionEval</w:t>
      </w:r>
      <w:proofErr w:type="spellEnd"/>
      <w:r w:rsidRPr="008C5A40">
        <w:rPr>
          <w:bCs/>
          <w:iCs/>
        </w:rPr>
        <w:t xml:space="preserve"> strategic model. With an understanding that there is 'deep uncertainty' as to the timing and manifestation of automated vehicles, the approach looks to develop scenario planning capabilities using the Vision Eval strategic modeling platform. RSG had the lead role in designing the improvements that can be incorporated into </w:t>
      </w:r>
      <w:proofErr w:type="spellStart"/>
      <w:r w:rsidRPr="008C5A40">
        <w:rPr>
          <w:bCs/>
          <w:iCs/>
        </w:rPr>
        <w:t>VisionEval</w:t>
      </w:r>
      <w:proofErr w:type="spellEnd"/>
      <w:r w:rsidRPr="008C5A40">
        <w:rPr>
          <w:bCs/>
          <w:iCs/>
        </w:rPr>
        <w:t xml:space="preserve"> models as well as leading the code development. The project was research-based, identifying what households may be eligible to use an advanced vehicle, what share of VMT may occur in these vehicles, and how the capacity of the transportation system is affected by the magnitude of driverless VMT in the system.</w:t>
      </w:r>
    </w:p>
    <w:p w14:paraId="5B44E47D" w14:textId="77777777" w:rsidR="00C138A9" w:rsidRDefault="00C138A9" w:rsidP="00C138A9">
      <w:pPr>
        <w:pStyle w:val="BodyParagraph"/>
        <w:rPr>
          <w:bCs/>
          <w:iCs/>
        </w:rPr>
      </w:pPr>
      <w:r w:rsidRPr="008C5A40">
        <w:t xml:space="preserve">RSG was the technical lead in developing a module in </w:t>
      </w:r>
      <w:proofErr w:type="spellStart"/>
      <w:r w:rsidRPr="008C5A40">
        <w:t>VisionEval</w:t>
      </w:r>
      <w:proofErr w:type="spellEnd"/>
      <w:r w:rsidRPr="008C5A40">
        <w:t xml:space="preserve"> to account for how driverless vehicles may affect demand for travel and changes in the capacity of the transportation network. RSG produced a set of packages for </w:t>
      </w:r>
      <w:proofErr w:type="spellStart"/>
      <w:r w:rsidRPr="008C5A40">
        <w:t>VisionEval</w:t>
      </w:r>
      <w:proofErr w:type="spellEnd"/>
      <w:r w:rsidRPr="008C5A40">
        <w:t xml:space="preserve"> that accounted for new models of propensity to share vehicles, interest in using Level 5 fully self-driven vehicles, and a new set of vehicle types in VE including Level 3, fully connecte</w:t>
      </w:r>
      <w:r w:rsidRPr="008C5A40">
        <w:rPr>
          <w:bCs/>
          <w:iCs/>
        </w:rPr>
        <w:t>d, but human-driven vehicles and Level 5 – full self-driving and autonomous. Inputs can include dead-heading settings, parking fee avoidance, costs of vehicles, capacity changes, and changes in market share.</w:t>
      </w:r>
    </w:p>
    <w:p w14:paraId="7CFE8592" w14:textId="77777777" w:rsidR="00C138A9" w:rsidRPr="002F3D61" w:rsidRDefault="00C138A9" w:rsidP="00C138A9">
      <w:pPr>
        <w:pStyle w:val="Heading5"/>
      </w:pPr>
      <w:r w:rsidRPr="00660DAB">
        <w:t>Oregon </w:t>
      </w:r>
      <w:proofErr w:type="spellStart"/>
      <w:r w:rsidRPr="002F3D61">
        <w:t>VisionEval</w:t>
      </w:r>
      <w:proofErr w:type="spellEnd"/>
      <w:r w:rsidRPr="002F3D61">
        <w:t> Support (</w:t>
      </w:r>
      <w:proofErr w:type="spellStart"/>
      <w:r w:rsidRPr="002F3D61">
        <w:t>VisionEval</w:t>
      </w:r>
      <w:proofErr w:type="spellEnd"/>
      <w:r w:rsidRPr="002F3D61">
        <w:t xml:space="preserve">-RSPM &amp; </w:t>
      </w:r>
      <w:proofErr w:type="spellStart"/>
      <w:r w:rsidRPr="002F3D61">
        <w:t>VisionEval</w:t>
      </w:r>
      <w:proofErr w:type="spellEnd"/>
      <w:r w:rsidRPr="002F3D61">
        <w:t>-STATE) </w:t>
      </w:r>
    </w:p>
    <w:p w14:paraId="4B571D09" w14:textId="77777777" w:rsidR="00C138A9" w:rsidRPr="00660DAB" w:rsidRDefault="00C138A9" w:rsidP="00C138A9">
      <w:pPr>
        <w:pStyle w:val="BodyParagraph"/>
      </w:pPr>
      <w:r w:rsidRPr="00660DAB">
        <w:t>RSG has provided on-call support to Oregon DOT with the development of specific enhancements to </w:t>
      </w:r>
      <w:proofErr w:type="spellStart"/>
      <w:r w:rsidRPr="00660DAB">
        <w:t>VisionEval</w:t>
      </w:r>
      <w:proofErr w:type="spellEnd"/>
      <w:r w:rsidRPr="00660DAB">
        <w:t> using a standalone </w:t>
      </w:r>
      <w:proofErr w:type="spellStart"/>
      <w:r>
        <w:t>VisionEval</w:t>
      </w:r>
      <w:proofErr w:type="spellEnd"/>
      <w:r w:rsidRPr="00660DAB">
        <w:t> fork. The project’s efforts established and implemented a contributor review team to test and accept code developed into the </w:t>
      </w:r>
      <w:proofErr w:type="spellStart"/>
      <w:r w:rsidRPr="00660DAB">
        <w:t>VisionEval</w:t>
      </w:r>
      <w:proofErr w:type="spellEnd"/>
      <w:r w:rsidRPr="00660DAB">
        <w:t> project using incremental steps to design, code, implement</w:t>
      </w:r>
      <w:r>
        <w:t>,</w:t>
      </w:r>
      <w:r w:rsidRPr="00660DAB">
        <w:t xml:space="preserve"> and test. RSG assisted with the transfer of the statewide </w:t>
      </w:r>
      <w:proofErr w:type="spellStart"/>
      <w:r w:rsidRPr="00660DAB">
        <w:t>GreenSTEP</w:t>
      </w:r>
      <w:proofErr w:type="spellEnd"/>
      <w:r w:rsidRPr="00660DAB">
        <w:t xml:space="preserve"> strategic planning tool to the </w:t>
      </w:r>
      <w:proofErr w:type="spellStart"/>
      <w:r w:rsidRPr="00660DAB">
        <w:t>VisionEval</w:t>
      </w:r>
      <w:proofErr w:type="spellEnd"/>
      <w:r w:rsidRPr="00660DAB">
        <w:t> framework (</w:t>
      </w:r>
      <w:proofErr w:type="spellStart"/>
      <w:r>
        <w:t>VisionEval</w:t>
      </w:r>
      <w:proofErr w:type="spellEnd"/>
      <w:r w:rsidRPr="00660DAB">
        <w:t>-STATE).</w:t>
      </w:r>
    </w:p>
    <w:p w14:paraId="6801CACB" w14:textId="7DB81745" w:rsidR="00C138A9" w:rsidRPr="00CF6A93" w:rsidRDefault="1F292E3D" w:rsidP="00C138A9">
      <w:pPr>
        <w:pStyle w:val="BodyParagraph"/>
      </w:pPr>
      <w:r>
        <w:lastRenderedPageBreak/>
        <w:t>RSG helped develop and deliver an in-person </w:t>
      </w:r>
      <w:proofErr w:type="spellStart"/>
      <w:r>
        <w:t>VisionEval</w:t>
      </w:r>
      <w:proofErr w:type="spellEnd"/>
      <w:r>
        <w:t xml:space="preserve"> training session and a knowledge transfer session with FHWA and the pooled funds contractor. RSG has continued this support more recently by developing driverless vehicle software enhancements that allows non-drivers to become occupants in automated vehicles, </w:t>
      </w:r>
      <w:proofErr w:type="spellStart"/>
      <w:r>
        <w:t>creatinginput</w:t>
      </w:r>
      <w:proofErr w:type="spellEnd"/>
      <w:r>
        <w:t xml:space="preserve"> files for putting occupancy values into shared and automated vehicles, and creating driverless modules within the </w:t>
      </w:r>
      <w:proofErr w:type="spellStart"/>
      <w:r>
        <w:t>VisionEval</w:t>
      </w:r>
      <w:proofErr w:type="spellEnd"/>
      <w:r>
        <w:t> framework. RSG built an Oregon specific wiki focused providing practitioners the step-by-step guidance on how to develop and use a </w:t>
      </w:r>
      <w:proofErr w:type="spellStart"/>
      <w:r>
        <w:t>VisionEval</w:t>
      </w:r>
      <w:proofErr w:type="spellEnd"/>
      <w:r>
        <w:t> model. </w:t>
      </w:r>
    </w:p>
    <w:p w14:paraId="27CDB67F" w14:textId="77777777" w:rsidR="00C138A9" w:rsidRPr="00CF6A93" w:rsidRDefault="00C138A9" w:rsidP="00C138A9">
      <w:pPr>
        <w:pStyle w:val="Heading5"/>
      </w:pPr>
      <w:r w:rsidRPr="00CF6A93">
        <w:t>Oregon Transportation Plan – Scenario Analysis</w:t>
      </w:r>
    </w:p>
    <w:p w14:paraId="19DEFD6E" w14:textId="63F0D85F" w:rsidR="00C138A9" w:rsidRDefault="00C138A9" w:rsidP="00C138A9">
      <w:pPr>
        <w:pStyle w:val="BodyParagraph"/>
      </w:pPr>
      <w:r w:rsidRPr="00CF6A93">
        <w:t>RSG, as a subconsultant, led the scenario planning, modeling, and analysis tasks and informed the equity tasks as part of the Oregon Transportation Plan (OTP). The study was a significant update with several working groups and tasks over two years. The RSG tasks included determining the analysis approach, setting the outcome and goal areas, and defining the performance measures toward</w:t>
      </w:r>
      <w:r>
        <w:t xml:space="preserve"> desired outcomes. RSG applied the </w:t>
      </w:r>
      <w:proofErr w:type="spellStart"/>
      <w:r>
        <w:t>VisionEval</w:t>
      </w:r>
      <w:proofErr w:type="spellEnd"/>
      <w:r>
        <w:t xml:space="preserve"> – State (VE-State) strategic model, implemented additional enhancements including creating a fiscally constrained modeling environment, updated data to the latest NHTS data, introducing a teleworking module, assessed automated vehicle demand, and improved visualization and reporting of the results. RSG also applied the TMIP-EMAT metamodel approach to multiple scenarios. The process used Exploratory Scenario Planning (XSP) to identify 13 dimensions which would be tested in a </w:t>
      </w:r>
      <w:proofErr w:type="spellStart"/>
      <w:r>
        <w:t>VisionEval</w:t>
      </w:r>
      <w:proofErr w:type="spellEnd"/>
      <w:r>
        <w:t xml:space="preserve"> model to identify which resulting outcomes would best deliver the goals identified through the public visioning and goal-setting process of the Oregon Transportation Plan (OTP). The XSP approach paired with the Exploratory Modeling and Analysis Tool enabled hundreds of future combinations to be tested and from that domain of futures, the ones which met the goals of the OTP were identified as preferable to pursue in implementation. The plan was novel by using </w:t>
      </w:r>
      <w:proofErr w:type="spellStart"/>
      <w:r>
        <w:t>VisionEval</w:t>
      </w:r>
      <w:proofErr w:type="spellEnd"/>
      <w:r>
        <w:t xml:space="preserve"> and EMAT in a statewide plan as well as being fiscally </w:t>
      </w:r>
      <w:r w:rsidR="00415824">
        <w:t>bound</w:t>
      </w:r>
      <w:r>
        <w:t xml:space="preserve"> to account for changes in revenue as VMT changes due to pricing policies and other TDM measures.</w:t>
      </w:r>
    </w:p>
    <w:p w14:paraId="1AAD2FE4" w14:textId="77777777" w:rsidR="00C138A9" w:rsidRDefault="00C138A9" w:rsidP="00C138A9">
      <w:pPr>
        <w:pStyle w:val="BodyParagraph"/>
      </w:pPr>
      <w:r>
        <w:t xml:space="preserve">The scenario planning and analysis work conducted by RSG were fundamental inputs to the development of the long-range plan by focusing on the results of various investment options and how best to achieve the stated goals of the plan. Two phases of EMAT modeling included focusing on Levers in Phase 1 and then exogenous uncertainties in Phase 2 to derive resilient strategies. See a recent presentation at: </w:t>
      </w:r>
      <w:hyperlink r:id="rId38" w:history="1">
        <w:r w:rsidRPr="00F61178">
          <w:rPr>
            <w:rStyle w:val="Hyperlink"/>
          </w:rPr>
          <w:t>https://www.youtube.com/watch?v=liXtldO2L-w</w:t>
        </w:r>
      </w:hyperlink>
      <w:r>
        <w:t xml:space="preserve"> </w:t>
      </w:r>
    </w:p>
    <w:p w14:paraId="011309E2" w14:textId="77777777" w:rsidR="00C138A9" w:rsidRPr="000F75AF" w:rsidRDefault="00C138A9" w:rsidP="00C138A9">
      <w:pPr>
        <w:pStyle w:val="Heading5"/>
      </w:pPr>
      <w:r w:rsidRPr="00660DAB">
        <w:lastRenderedPageBreak/>
        <w:t>New York State Clean Energy Roadmap (</w:t>
      </w:r>
      <w:proofErr w:type="spellStart"/>
      <w:r w:rsidRPr="004668FF">
        <w:t>VisionEval</w:t>
      </w:r>
      <w:proofErr w:type="spellEnd"/>
      <w:r w:rsidRPr="004668FF">
        <w:t>-STATE)</w:t>
      </w:r>
    </w:p>
    <w:p w14:paraId="526EE497" w14:textId="77777777" w:rsidR="00C138A9" w:rsidRPr="00660DAB" w:rsidRDefault="00C138A9" w:rsidP="00C138A9">
      <w:pPr>
        <w:pStyle w:val="BodyParagraph"/>
      </w:pPr>
      <w:r>
        <w:rPr>
          <w:rFonts w:ascii="Arial" w:hAnsi="Arial" w:cs="Arial"/>
          <w:noProof/>
          <w:color w:val="262626"/>
        </w:rPr>
        <w:drawing>
          <wp:anchor distT="0" distB="0" distL="114300" distR="114300" simplePos="0" relativeHeight="251658241" behindDoc="0" locked="0" layoutInCell="1" allowOverlap="1" wp14:anchorId="3315DBA7" wp14:editId="6898591A">
            <wp:simplePos x="0" y="0"/>
            <wp:positionH relativeFrom="margin">
              <wp:align>right</wp:align>
            </wp:positionH>
            <wp:positionV relativeFrom="paragraph">
              <wp:posOffset>59055</wp:posOffset>
            </wp:positionV>
            <wp:extent cx="3206750" cy="2787650"/>
            <wp:effectExtent l="0" t="0" r="0" b="0"/>
            <wp:wrapSquare wrapText="bothSides"/>
            <wp:docPr id="2108152935"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6750" cy="2787650"/>
                    </a:xfrm>
                    <a:prstGeom prst="rect">
                      <a:avLst/>
                    </a:prstGeom>
                    <a:noFill/>
                    <a:ln>
                      <a:noFill/>
                    </a:ln>
                  </pic:spPr>
                </pic:pic>
              </a:graphicData>
            </a:graphic>
          </wp:anchor>
        </w:drawing>
      </w:r>
      <w:r w:rsidRPr="00436CEB">
        <w:t>RSG</w:t>
      </w:r>
      <w:r w:rsidRPr="00660DAB">
        <w:t xml:space="preserve"> developed </w:t>
      </w:r>
      <w:r w:rsidRPr="00436CEB">
        <w:t xml:space="preserve">a </w:t>
      </w:r>
      <w:proofErr w:type="spellStart"/>
      <w:r w:rsidRPr="00436CEB">
        <w:t>VisionEval</w:t>
      </w:r>
      <w:proofErr w:type="spellEnd"/>
      <w:r>
        <w:t xml:space="preserve">-State model </w:t>
      </w:r>
      <w:r w:rsidRPr="00436CEB">
        <w:t>for</w:t>
      </w:r>
      <w:r w:rsidRPr="00660DAB">
        <w:t xml:space="preserve"> </w:t>
      </w:r>
      <w:r w:rsidRPr="00436CEB">
        <w:t>the Clean</w:t>
      </w:r>
      <w:r w:rsidRPr="00660DAB">
        <w:t xml:space="preserve"> Transportation Roadmap for the NYSERDA</w:t>
      </w:r>
      <w:r>
        <w:t xml:space="preserve">. </w:t>
      </w:r>
      <w:r w:rsidRPr="00436CEB">
        <w:t>RSG designed</w:t>
      </w:r>
      <w:r w:rsidRPr="00660DAB">
        <w:t xml:space="preserve"> the zone structure</w:t>
      </w:r>
      <w:r w:rsidRPr="00436CEB">
        <w:t xml:space="preserve"> and </w:t>
      </w:r>
      <w:r w:rsidRPr="00660DAB">
        <w:t xml:space="preserve">census inputs and developed a calibrated </w:t>
      </w:r>
      <w:r w:rsidRPr="00436CEB">
        <w:t>VE</w:t>
      </w:r>
      <w:r w:rsidRPr="00660DAB">
        <w:t>-STATE model.</w:t>
      </w:r>
      <w:r w:rsidRPr="00436CEB">
        <w:t xml:space="preserve"> RSG applied</w:t>
      </w:r>
      <w:r w:rsidRPr="00660DAB">
        <w:t xml:space="preserve"> the model to test various scenarios of changes in </w:t>
      </w:r>
      <w:r w:rsidRPr="00436CEB">
        <w:t>EV</w:t>
      </w:r>
      <w:r w:rsidRPr="00660DAB">
        <w:t xml:space="preserve"> </w:t>
      </w:r>
      <w:r w:rsidRPr="00436CEB">
        <w:t>market penetration, as</w:t>
      </w:r>
      <w:r w:rsidRPr="00660DAB">
        <w:t xml:space="preserve"> well as how other policies may affect the adoption of electrification. The model accounts for other transportation and land</w:t>
      </w:r>
      <w:r w:rsidRPr="00436CEB">
        <w:t>-</w:t>
      </w:r>
      <w:r w:rsidRPr="00660DAB">
        <w:t xml:space="preserve">use investments and provides summaries of fuel consumed (including electricity) </w:t>
      </w:r>
      <w:r w:rsidRPr="00436CEB">
        <w:t>and VMT, as well as output segmented by income group to evaluate equity impacts</w:t>
      </w:r>
      <w:r w:rsidRPr="00660DAB">
        <w:t>.</w:t>
      </w:r>
    </w:p>
    <w:p w14:paraId="03444542" w14:textId="77777777" w:rsidR="00C138A9" w:rsidRPr="00E937D9" w:rsidRDefault="00C138A9" w:rsidP="00C138A9">
      <w:pPr>
        <w:pStyle w:val="BodyParagraph"/>
        <w:rPr>
          <w:rFonts w:asciiTheme="majorHAnsi" w:eastAsiaTheme="majorEastAsia" w:hAnsiTheme="majorHAnsi" w:cstheme="majorBidi"/>
          <w:bCs/>
          <w:iCs/>
          <w:color w:val="006FA1" w:themeColor="accent1"/>
          <w:sz w:val="24"/>
        </w:rPr>
      </w:pPr>
      <w:r w:rsidRPr="00660DAB">
        <w:rPr>
          <w:noProof/>
        </w:rPr>
        <w:drawing>
          <wp:anchor distT="0" distB="0" distL="114300" distR="114300" simplePos="0" relativeHeight="251658240" behindDoc="0" locked="0" layoutInCell="1" allowOverlap="1" wp14:anchorId="379F2691" wp14:editId="6F9766A2">
            <wp:simplePos x="0" y="0"/>
            <wp:positionH relativeFrom="margin">
              <wp:align>right</wp:align>
            </wp:positionH>
            <wp:positionV relativeFrom="paragraph">
              <wp:posOffset>20955</wp:posOffset>
            </wp:positionV>
            <wp:extent cx="2250440" cy="810895"/>
            <wp:effectExtent l="0" t="0" r="0" b="8255"/>
            <wp:wrapSquare wrapText="bothSides"/>
            <wp:docPr id="647192377" name="Picture 6"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92377" name="Picture 6" descr="A green and black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0440" cy="810895"/>
                    </a:xfrm>
                    <a:prstGeom prst="rect">
                      <a:avLst/>
                    </a:prstGeom>
                    <a:noFill/>
                    <a:ln>
                      <a:noFill/>
                    </a:ln>
                  </pic:spPr>
                </pic:pic>
              </a:graphicData>
            </a:graphic>
          </wp:anchor>
        </w:drawing>
      </w:r>
      <w:r w:rsidRPr="00E937D9">
        <w:rPr>
          <w:rFonts w:asciiTheme="majorHAnsi" w:eastAsiaTheme="majorEastAsia" w:hAnsiTheme="majorHAnsi" w:cstheme="majorBidi"/>
          <w:bCs/>
          <w:iCs/>
          <w:color w:val="006FA1" w:themeColor="accent1"/>
          <w:sz w:val="24"/>
        </w:rPr>
        <w:t>Massachusetts 80x50 Modeling (EERPAT)</w:t>
      </w:r>
    </w:p>
    <w:p w14:paraId="6D21B018" w14:textId="77777777" w:rsidR="00C138A9" w:rsidRPr="00660DAB" w:rsidRDefault="00C138A9" w:rsidP="00C138A9">
      <w:pPr>
        <w:pStyle w:val="BodyParagraph"/>
      </w:pPr>
      <w:r w:rsidRPr="00660DAB">
        <w:t>Under contract to the USDOT Federal Highway Administration, RSG developed the Energy and Emissions Reduction Policy Analysis Tool (EERPAT) in 2012. EERPAT is a strategic planning model for state DOTs to develop policies to reduce transportation greenhouse gas emissions. Through an engagement with FHWA, RSG implemented EERPAT models for Utah, Colorado, Washington, Maryland, and Vermont. RSG is actively building an EERPAT model for New Mexico and a statewide model for the New York State Energy Research &amp; Development Authority using a tool within the same model family.</w:t>
      </w:r>
    </w:p>
    <w:p w14:paraId="406D6EA0" w14:textId="77777777" w:rsidR="00C138A9" w:rsidRPr="00660DAB" w:rsidRDefault="00C138A9" w:rsidP="00C138A9">
      <w:pPr>
        <w:pStyle w:val="BodyParagraph"/>
      </w:pPr>
      <w:r w:rsidRPr="00660DAB">
        <w:t xml:space="preserve">Building on this history and as a national leader in this space, RSG was an integral part of the development and application for the implementation of EERPAT in support of Massachusetts’ Executive Office of Energy and Environmental Affairs 80 x 50 effort, which is a planning process to reduce greenhouse gas emissions by at least 80% by 2050 in equitable and cost-effective ways. EERPAT was chosen as the best available tool to support understanding the complex decisions around travel choices and their emissions and energy impacts given a household’s characteristics including income, vehicle availability, household size, age of household members, community density, travel cost, and available travel alternatives. RSG was brought to the project having a successful history of other EERPAT applications to ensure the model was calibrated to the correct conditions and develop the appropriate input files. RSG also trained others to use EERPAT to broaden the population of capable users of the model. This model is </w:t>
      </w:r>
      <w:r w:rsidRPr="00660DAB">
        <w:lastRenderedPageBreak/>
        <w:t>now available to use as a policy tool for climate action policies and other policy scenario purposes beyond the 80 x 50 project.</w:t>
      </w:r>
    </w:p>
    <w:p w14:paraId="4139BBE1" w14:textId="77777777" w:rsidR="00C138A9" w:rsidRPr="00660DAB" w:rsidRDefault="00C138A9" w:rsidP="00C138A9">
      <w:pPr>
        <w:pStyle w:val="BodyParagraph"/>
      </w:pPr>
      <w:r w:rsidRPr="008A6EFF">
        <w:t xml:space="preserve">Not only has RSG been an integral part of the development and application of the EERPAT model used in the Mass 80x50 study, RSG has developed complementary and related tools including the Rapid Policy Analysis Tool (RPAT), Impacts 2050, and the next generation model platform </w:t>
      </w:r>
      <w:proofErr w:type="spellStart"/>
      <w:r w:rsidRPr="008A6EFF">
        <w:t>VisionEval</w:t>
      </w:r>
      <w:proofErr w:type="spellEnd"/>
      <w:r w:rsidRPr="008A6EFF">
        <w:t>.</w:t>
      </w:r>
    </w:p>
    <w:p w14:paraId="5EE972B7" w14:textId="77777777" w:rsidR="00C138A9" w:rsidRPr="000F75AF" w:rsidRDefault="00C138A9" w:rsidP="00C138A9">
      <w:pPr>
        <w:pStyle w:val="Heading5"/>
      </w:pPr>
      <w:r w:rsidRPr="00660DAB">
        <w:t>Burlington</w:t>
      </w:r>
      <w:r>
        <w:t>, Vermont,</w:t>
      </w:r>
      <w:r w:rsidRPr="00660DAB">
        <w:t xml:space="preserve"> Net Zero Energy Plan (</w:t>
      </w:r>
      <w:proofErr w:type="spellStart"/>
      <w:r w:rsidRPr="008A6EFF">
        <w:t>VisionEval</w:t>
      </w:r>
      <w:proofErr w:type="spellEnd"/>
      <w:r w:rsidRPr="008A6EFF">
        <w:t>-RPAT)</w:t>
      </w:r>
    </w:p>
    <w:p w14:paraId="3CE2B75D" w14:textId="77777777" w:rsidR="00C138A9" w:rsidRDefault="00C138A9" w:rsidP="00C138A9">
      <w:pPr>
        <w:pStyle w:val="BodyParagraph"/>
      </w:pPr>
      <w:r w:rsidRPr="00660DAB">
        <w:t>RSG assisted the Burlington Electric Department (BED) develop a roadmap for how the city of Burlington can become a “net zero energy” (NZE) municipality. As envisioned by city leaders Burlington’s push toward becoming an NZE city means displacing fossil fuel consumption in the electric heating and transportation sectors using renewable energy sources. BED has already started the process of incentivizing a consumer shift toward more energy</w:t>
      </w:r>
      <w:r>
        <w:t>-</w:t>
      </w:r>
      <w:r w:rsidRPr="00660DAB">
        <w:t>efficient and sustainable technologies (e.g., incentivizing the purchase of electric vehicles for customers).</w:t>
      </w:r>
    </w:p>
    <w:p w14:paraId="60A13F4D" w14:textId="77777777" w:rsidR="00C138A9" w:rsidRPr="00660DAB" w:rsidRDefault="00C138A9" w:rsidP="00C138A9">
      <w:pPr>
        <w:pStyle w:val="BodyParagraph"/>
      </w:pPr>
      <w:r w:rsidRPr="00660DAB">
        <w:t xml:space="preserve">RSG developed a </w:t>
      </w:r>
      <w:proofErr w:type="spellStart"/>
      <w:r>
        <w:t>VisionEval</w:t>
      </w:r>
      <w:proofErr w:type="spellEnd"/>
      <w:r w:rsidRPr="00660DAB">
        <w:t>-RPAT for the greater Burlington area of Vermont to evaluate various land use and transportation investment decisions as to how to reduce the overall demand for travel. Shifting to walking, biking, transit, and teleworking are the highest priorities for the city. The model was used to test mileage</w:t>
      </w:r>
      <w:r>
        <w:t>-</w:t>
      </w:r>
      <w:r w:rsidRPr="00660DAB">
        <w:t>based user fees, carbon fees, and transit investment. The highest return investments supported greater intensification of land uses but also carbon fees.</w:t>
      </w:r>
    </w:p>
    <w:p w14:paraId="250668FB" w14:textId="77777777" w:rsidR="00C138A9" w:rsidRPr="000F75AF" w:rsidRDefault="00C138A9" w:rsidP="00C138A9">
      <w:pPr>
        <w:pStyle w:val="Heading5"/>
      </w:pPr>
      <w:r w:rsidRPr="00660DAB">
        <w:t>NY State Strategic Modeling for two MPOs (</w:t>
      </w:r>
      <w:proofErr w:type="spellStart"/>
      <w:r w:rsidRPr="00355777">
        <w:t>VisionEval</w:t>
      </w:r>
      <w:proofErr w:type="spellEnd"/>
      <w:r w:rsidRPr="00355777">
        <w:t>-RPAT)</w:t>
      </w:r>
    </w:p>
    <w:p w14:paraId="01F63044" w14:textId="77777777" w:rsidR="00C138A9" w:rsidRDefault="00C138A9" w:rsidP="00C138A9">
      <w:pPr>
        <w:pStyle w:val="BodyParagraph"/>
        <w:rPr>
          <w:bCs/>
          <w:iCs/>
        </w:rPr>
      </w:pPr>
      <w:r w:rsidRPr="00F43A46">
        <w:t>RSG worked with th</w:t>
      </w:r>
      <w:r w:rsidRPr="00F43A46">
        <w:rPr>
          <w:bCs/>
          <w:iCs/>
        </w:rPr>
        <w:t>e New York State Energy Research and Development Authority</w:t>
      </w:r>
      <w:r>
        <w:rPr>
          <w:bCs/>
          <w:iCs/>
        </w:rPr>
        <w:t>,</w:t>
      </w:r>
      <w:r w:rsidRPr="00F43A46">
        <w:rPr>
          <w:bCs/>
          <w:iCs/>
        </w:rPr>
        <w:t xml:space="preserve"> the New York State Department of Transportation</w:t>
      </w:r>
      <w:r>
        <w:rPr>
          <w:bCs/>
          <w:iCs/>
        </w:rPr>
        <w:t>,</w:t>
      </w:r>
      <w:r w:rsidRPr="00F43A46">
        <w:rPr>
          <w:bCs/>
          <w:iCs/>
        </w:rPr>
        <w:t xml:space="preserve"> and two metropolitan planning organizations (MPOs) on the use of the Rapid Policy Assessment Tool (RPAT). The Capital District Transportation Committee and the Ithaca-Tompkins County Transportation Council were selected as the MPO clients. RPAT is an open-source strategic model designed to analyze the outcomes of multiple policy scenarios that involve changes to land use and transport fleet and usage. As a regional tool</w:t>
      </w:r>
      <w:r>
        <w:rPr>
          <w:bCs/>
          <w:iCs/>
        </w:rPr>
        <w:t>,</w:t>
      </w:r>
      <w:r w:rsidRPr="00F43A46">
        <w:rPr>
          <w:bCs/>
          <w:iCs/>
        </w:rPr>
        <w:t xml:space="preserve"> it provides high-level results useful for an MPO</w:t>
      </w:r>
      <w:r>
        <w:rPr>
          <w:bCs/>
          <w:iCs/>
        </w:rPr>
        <w:t>’</w:t>
      </w:r>
      <w:r w:rsidRPr="00F43A46">
        <w:rPr>
          <w:bCs/>
          <w:iCs/>
        </w:rPr>
        <w:t xml:space="preserve">s long-range transportation plan analyses. </w:t>
      </w:r>
      <w:r>
        <w:rPr>
          <w:bCs/>
          <w:iCs/>
        </w:rPr>
        <w:t xml:space="preserve">During the </w:t>
      </w:r>
      <w:r w:rsidRPr="00F43A46">
        <w:rPr>
          <w:bCs/>
          <w:iCs/>
        </w:rPr>
        <w:t>course of this project</w:t>
      </w:r>
      <w:r>
        <w:rPr>
          <w:bCs/>
          <w:iCs/>
        </w:rPr>
        <w:t>,</w:t>
      </w:r>
      <w:r w:rsidRPr="00F43A46">
        <w:rPr>
          <w:bCs/>
          <w:iCs/>
        </w:rPr>
        <w:t xml:space="preserve"> RPAT was converted to the </w:t>
      </w:r>
      <w:proofErr w:type="spellStart"/>
      <w:r w:rsidRPr="00F43A46">
        <w:rPr>
          <w:bCs/>
          <w:iCs/>
        </w:rPr>
        <w:t>VisionEval</w:t>
      </w:r>
      <w:proofErr w:type="spellEnd"/>
      <w:r w:rsidRPr="00F43A46">
        <w:rPr>
          <w:bCs/>
          <w:iCs/>
        </w:rPr>
        <w:t xml:space="preserve"> platform that is being actively supported by FHWA and AASHTO. Consequently</w:t>
      </w:r>
      <w:r>
        <w:rPr>
          <w:bCs/>
          <w:iCs/>
        </w:rPr>
        <w:t>,</w:t>
      </w:r>
      <w:r w:rsidRPr="00F43A46">
        <w:rPr>
          <w:bCs/>
          <w:iCs/>
        </w:rPr>
        <w:t xml:space="preserve"> the MPOs have a tool that will be well-supported into the future and to which enhancements are likely to be made by the user community. Each MPO was supported in the development of data input files and model calibration. They installed the model and were trained in its use. They were then supported in running five scenarios of their own choosing; these included different land-use patterns and varying levels of electric vehicles in the fleet.</w:t>
      </w:r>
    </w:p>
    <w:p w14:paraId="5CA65454" w14:textId="77777777" w:rsidR="00C138A9" w:rsidRPr="000F75AF" w:rsidRDefault="00C138A9" w:rsidP="00C138A9">
      <w:pPr>
        <w:pStyle w:val="Heading5"/>
      </w:pPr>
      <w:r w:rsidRPr="00660DAB">
        <w:lastRenderedPageBreak/>
        <w:t>SHRP2-C16 Software Enhancements for RPAT (a.k.a. </w:t>
      </w:r>
      <w:proofErr w:type="spellStart"/>
      <w:r w:rsidRPr="00660DAB">
        <w:t>VisionEval</w:t>
      </w:r>
      <w:proofErr w:type="spellEnd"/>
      <w:r w:rsidRPr="00660DAB">
        <w:t>) </w:t>
      </w:r>
    </w:p>
    <w:p w14:paraId="73FDFA20" w14:textId="77777777" w:rsidR="00C138A9" w:rsidRPr="00660DAB" w:rsidRDefault="00C138A9" w:rsidP="00C138A9">
      <w:pPr>
        <w:pStyle w:val="BodyParagraph"/>
      </w:pPr>
      <w:r w:rsidRPr="00660DAB">
        <w:t>RSG assisted the American Association of State Highway Transportation Officials Federal Highway Administration and Oregon Department of Transportation with the design implementation and management of </w:t>
      </w:r>
      <w:proofErr w:type="spellStart"/>
      <w:r w:rsidRPr="00660DAB">
        <w:t>VisionEval</w:t>
      </w:r>
      <w:proofErr w:type="spellEnd"/>
      <w:r>
        <w:t>,</w:t>
      </w:r>
      <w:r w:rsidRPr="00660DAB">
        <w:t xml:space="preserve"> a new framework for disaggregate strategic planning models. This open-source R-based modeling framework combines the implementation of the </w:t>
      </w:r>
      <w:proofErr w:type="spellStart"/>
      <w:r w:rsidRPr="00660DAB">
        <w:t>GreenSTEP</w:t>
      </w:r>
      <w:proofErr w:type="spellEnd"/>
      <w:r w:rsidRPr="00660DAB">
        <w:t xml:space="preserve"> family of strategic models: </w:t>
      </w:r>
      <w:proofErr w:type="spellStart"/>
      <w:r w:rsidRPr="00660DAB">
        <w:t>GreenSTEP</w:t>
      </w:r>
      <w:proofErr w:type="spellEnd"/>
      <w:r w:rsidRPr="00660DAB">
        <w:t xml:space="preserve"> Regional Strategic Planning Model (RSPM) and Rapid Policy Assessment Tool (RPAT). RSG managed the collaborative software development effort in GitHub. The RSG team finalized the </w:t>
      </w:r>
      <w:proofErr w:type="spellStart"/>
      <w:r w:rsidRPr="00660DAB">
        <w:t>VisionEval</w:t>
      </w:r>
      <w:proofErr w:type="spellEnd"/>
      <w:r w:rsidRPr="00660DAB">
        <w:t> framework and integration plan for merging RPAT and RSPM via a set of common R modules/packages. RSG also reimplemented RPAT under </w:t>
      </w:r>
      <w:proofErr w:type="spellStart"/>
      <w:r w:rsidRPr="00660DAB">
        <w:t>VisionEval</w:t>
      </w:r>
      <w:proofErr w:type="spellEnd"/>
      <w:r w:rsidRPr="00660DAB">
        <w:t>, developed an </w:t>
      </w:r>
      <w:proofErr w:type="spellStart"/>
      <w:r w:rsidRPr="00660DAB">
        <w:t>RShiny</w:t>
      </w:r>
      <w:proofErr w:type="spellEnd"/>
      <w:r w:rsidRPr="00660DAB">
        <w:t>-based application for running </w:t>
      </w:r>
      <w:proofErr w:type="spellStart"/>
      <w:r w:rsidRPr="00660DAB">
        <w:t>VisionEval</w:t>
      </w:r>
      <w:proofErr w:type="spellEnd"/>
      <w:r w:rsidRPr="00660DAB">
        <w:t> models</w:t>
      </w:r>
      <w:r>
        <w:t>,</w:t>
      </w:r>
      <w:r w:rsidRPr="00660DAB">
        <w:t xml:space="preserve"> and integrated and updated the scenario viewer (visualizer) to work with </w:t>
      </w:r>
      <w:proofErr w:type="spellStart"/>
      <w:r w:rsidRPr="00660DAB">
        <w:t>VisionEval</w:t>
      </w:r>
      <w:proofErr w:type="spellEnd"/>
      <w:r w:rsidRPr="00660DAB">
        <w:t> models. RSG set up continuous integration testing of software resources using </w:t>
      </w:r>
      <w:proofErr w:type="spellStart"/>
      <w:r w:rsidRPr="00660DAB">
        <w:t>TravisCI</w:t>
      </w:r>
      <w:proofErr w:type="spellEnd"/>
      <w:r w:rsidRPr="00660DAB">
        <w:t> and developed and maintained the </w:t>
      </w:r>
      <w:proofErr w:type="spellStart"/>
      <w:r w:rsidRPr="00660DAB">
        <w:t>VisionEval</w:t>
      </w:r>
      <w:proofErr w:type="spellEnd"/>
      <w:r w:rsidRPr="00660DAB">
        <w:t> user and developer documentation with markdown and wiki technologies.</w:t>
      </w:r>
    </w:p>
    <w:p w14:paraId="717185C6" w14:textId="77777777" w:rsidR="00C138A9" w:rsidRPr="000F75AF" w:rsidRDefault="00C138A9" w:rsidP="00C138A9">
      <w:pPr>
        <w:pStyle w:val="Heading5"/>
      </w:pPr>
      <w:r w:rsidRPr="00660DAB">
        <w:t>FHWA, AASHTO – SHRP2 C16 Implementation Assistance (RPAT) </w:t>
      </w:r>
    </w:p>
    <w:p w14:paraId="2B25E95A" w14:textId="77777777" w:rsidR="00C138A9" w:rsidRPr="008365F5" w:rsidRDefault="00C138A9" w:rsidP="00C138A9">
      <w:pPr>
        <w:pStyle w:val="BodyParagraph"/>
      </w:pPr>
      <w:r w:rsidRPr="00660DAB">
        <w:t>As part of the SHRP2 research program for FHWA and AASHTO, our team members updated the strategic planning tool </w:t>
      </w:r>
      <w:proofErr w:type="spellStart"/>
      <w:r w:rsidRPr="00660DAB">
        <w:t>SmartGAP</w:t>
      </w:r>
      <w:proofErr w:type="spellEnd"/>
      <w:r w:rsidRPr="00660DAB">
        <w:t> to RPAT and provided technical support to MPOs implementing the model. The project included updates to the user guide, including guidance on calibrating the model to local observed conditions, development of a one-page quick start guide, development of a tutorial, and outreach at SHRP2 peer exchanges and workshops (</w:t>
      </w:r>
      <w:hyperlink r:id="rId41" w:tgtFrame="_blank" w:history="1">
        <w:r w:rsidRPr="00660DAB">
          <w:t>https://planningtools.transportation.org</w:t>
        </w:r>
      </w:hyperlink>
      <w:r w:rsidRPr="00660DAB">
        <w:t>).</w:t>
      </w:r>
    </w:p>
    <w:p w14:paraId="3077ACAC" w14:textId="77777777" w:rsidR="00401F48" w:rsidRPr="008365F5" w:rsidRDefault="00401F48" w:rsidP="00585414"/>
    <w:sectPr w:rsidR="00401F48" w:rsidRPr="008365F5" w:rsidSect="004C2D9F">
      <w:pgSz w:w="12240" w:h="15840" w:code="1"/>
      <w:pgMar w:top="2520" w:right="1440" w:bottom="1440" w:left="1440" w:header="720" w:footer="720" w:gutter="0"/>
      <w:pgBorders w:offsetFrom="page">
        <w:top w:val="none" w:sz="0" w:space="6" w:color="000000"/>
        <w:left w:val="none" w:sz="0" w:space="6" w:color="000000"/>
        <w:bottom w:val="none" w:sz="0" w:space="14" w:color="000000"/>
        <w:right w:val="none" w:sz="0" w:space="0" w:color="000000"/>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7023E" w14:textId="77777777" w:rsidR="0045236C" w:rsidRDefault="0045236C" w:rsidP="00FC093E">
      <w:r>
        <w:separator/>
      </w:r>
    </w:p>
  </w:endnote>
  <w:endnote w:type="continuationSeparator" w:id="0">
    <w:p w14:paraId="443C971B" w14:textId="77777777" w:rsidR="0045236C" w:rsidRDefault="0045236C" w:rsidP="00FC093E">
      <w:r>
        <w:continuationSeparator/>
      </w:r>
    </w:p>
  </w:endnote>
  <w:endnote w:type="continuationNotice" w:id="1">
    <w:p w14:paraId="6A4052E1" w14:textId="77777777" w:rsidR="0045236C" w:rsidRDefault="00452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single" w:sz="4" w:space="0" w:color="F68B1F" w:themeColor="background2"/>
        <w:bottom w:val="none" w:sz="0" w:space="0" w:color="auto"/>
        <w:right w:val="none" w:sz="0" w:space="0" w:color="auto"/>
        <w:insideH w:val="single" w:sz="4" w:space="0" w:color="F68B1F" w:themeColor="background2"/>
        <w:insideV w:val="none" w:sz="0" w:space="0" w:color="auto"/>
      </w:tblBorders>
      <w:tblLook w:val="04A0" w:firstRow="1" w:lastRow="0" w:firstColumn="1" w:lastColumn="0" w:noHBand="0" w:noVBand="1"/>
    </w:tblPr>
    <w:tblGrid>
      <w:gridCol w:w="648"/>
      <w:gridCol w:w="490"/>
    </w:tblGrid>
    <w:tr w:rsidR="003C505F" w14:paraId="46D1AAE0" w14:textId="77777777" w:rsidTr="003C505F">
      <w:trPr>
        <w:trHeight w:val="403"/>
      </w:trPr>
      <w:tc>
        <w:tcPr>
          <w:tcW w:w="648" w:type="dxa"/>
          <w:vAlign w:val="center"/>
          <w:hideMark/>
        </w:tcPr>
        <w:p w14:paraId="4CA00397" w14:textId="77777777" w:rsidR="003C505F" w:rsidRDefault="003C505F" w:rsidP="001352D4">
          <w:pPr>
            <w:pStyle w:val="Footer"/>
            <w:jc w:val="center"/>
            <w:rPr>
              <w:color w:val="48484A" w:themeColor="text1"/>
              <w:sz w:val="22"/>
            </w:rPr>
          </w:pPr>
          <w:r w:rsidRPr="00FE4456">
            <w:rPr>
              <w:color w:val="48484A" w:themeColor="text1"/>
              <w:sz w:val="24"/>
            </w:rPr>
            <w:fldChar w:fldCharType="begin"/>
          </w:r>
          <w:r w:rsidRPr="00FE4456">
            <w:rPr>
              <w:color w:val="48484A" w:themeColor="text1"/>
              <w:sz w:val="24"/>
            </w:rPr>
            <w:instrText xml:space="preserve"> PAGE   \* MERGEFORMAT </w:instrText>
          </w:r>
          <w:r w:rsidRPr="00FE4456">
            <w:rPr>
              <w:color w:val="48484A" w:themeColor="text1"/>
              <w:sz w:val="24"/>
            </w:rPr>
            <w:fldChar w:fldCharType="separate"/>
          </w:r>
          <w:r w:rsidR="00D10D69">
            <w:rPr>
              <w:noProof/>
              <w:color w:val="48484A" w:themeColor="text1"/>
              <w:sz w:val="24"/>
            </w:rPr>
            <w:t>ii</w:t>
          </w:r>
          <w:r w:rsidRPr="00FE4456">
            <w:rPr>
              <w:noProof/>
              <w:color w:val="48484A" w:themeColor="text1"/>
              <w:sz w:val="24"/>
            </w:rPr>
            <w:fldChar w:fldCharType="end"/>
          </w:r>
        </w:p>
      </w:tc>
      <w:tc>
        <w:tcPr>
          <w:tcW w:w="490" w:type="dxa"/>
          <w:vAlign w:val="center"/>
          <w:hideMark/>
        </w:tcPr>
        <w:p w14:paraId="31B6A481" w14:textId="77777777" w:rsidR="003C505F" w:rsidRDefault="003C505F" w:rsidP="001352D4">
          <w:pPr>
            <w:pStyle w:val="Footer"/>
            <w:ind w:hanging="59"/>
            <w:rPr>
              <w:color w:val="48484A" w:themeColor="text1"/>
              <w:sz w:val="22"/>
            </w:rPr>
          </w:pPr>
          <w:r>
            <w:rPr>
              <w:noProof/>
            </w:rPr>
            <w:drawing>
              <wp:inline distT="0" distB="0" distL="0" distR="0" wp14:anchorId="299F0B91" wp14:editId="558B758B">
                <wp:extent cx="169545" cy="200025"/>
                <wp:effectExtent l="0" t="0" r="190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l="11533" t="4996" r="10336" b="4124"/>
                        <a:stretch/>
                      </pic:blipFill>
                      <pic:spPr bwMode="auto">
                        <a:xfrm>
                          <a:off x="0" y="0"/>
                          <a:ext cx="169545" cy="200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4952E2F" w14:textId="77777777" w:rsidR="003C505F" w:rsidRPr="00431929" w:rsidRDefault="003C505F" w:rsidP="00431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308B5" w14:textId="77777777" w:rsidR="003C505F" w:rsidRPr="000C786D" w:rsidRDefault="000C786D" w:rsidP="000C786D">
    <w:pPr>
      <w:pStyle w:val="Footer"/>
      <w:jc w:val="right"/>
      <w:rPr>
        <w:color w:val="262626" w:themeColor="text2"/>
        <w:sz w:val="22"/>
      </w:rPr>
    </w:pPr>
    <w:r w:rsidRPr="000C786D">
      <w:rPr>
        <w:color w:val="262626" w:themeColor="text2"/>
        <w:sz w:val="24"/>
      </w:rPr>
      <w:fldChar w:fldCharType="begin"/>
    </w:r>
    <w:r w:rsidRPr="000C786D">
      <w:rPr>
        <w:color w:val="262626" w:themeColor="text2"/>
        <w:sz w:val="24"/>
      </w:rPr>
      <w:instrText xml:space="preserve"> PAGE   \* MERGEFORMAT </w:instrText>
    </w:r>
    <w:r w:rsidRPr="000C786D">
      <w:rPr>
        <w:color w:val="262626" w:themeColor="text2"/>
        <w:sz w:val="24"/>
      </w:rPr>
      <w:fldChar w:fldCharType="separate"/>
    </w:r>
    <w:r w:rsidRPr="000C786D">
      <w:rPr>
        <w:color w:val="262626" w:themeColor="text2"/>
        <w:sz w:val="24"/>
      </w:rPr>
      <w:t>i</w:t>
    </w:r>
    <w:r w:rsidRPr="000C786D">
      <w:rPr>
        <w:noProof/>
        <w:color w:val="262626" w:themeColor="text2"/>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03B2" w14:textId="77777777" w:rsidR="003C505F" w:rsidRPr="009C0E19" w:rsidRDefault="000C786D" w:rsidP="001352D4">
    <w:pPr>
      <w:pStyle w:val="Footer"/>
      <w:jc w:val="right"/>
      <w:rPr>
        <w:color w:val="48484A" w:themeColor="text1"/>
        <w:sz w:val="22"/>
      </w:rPr>
    </w:pPr>
    <w:r w:rsidRPr="00FE4456">
      <w:rPr>
        <w:color w:val="48484A" w:themeColor="text1"/>
        <w:sz w:val="24"/>
      </w:rPr>
      <w:fldChar w:fldCharType="begin"/>
    </w:r>
    <w:r w:rsidRPr="00FE4456">
      <w:rPr>
        <w:color w:val="48484A" w:themeColor="text1"/>
        <w:sz w:val="24"/>
      </w:rPr>
      <w:instrText xml:space="preserve"> PAGE   \* MERGEFORMAT </w:instrText>
    </w:r>
    <w:r w:rsidRPr="00FE4456">
      <w:rPr>
        <w:color w:val="48484A" w:themeColor="text1"/>
        <w:sz w:val="24"/>
      </w:rPr>
      <w:fldChar w:fldCharType="separate"/>
    </w:r>
    <w:r>
      <w:rPr>
        <w:color w:val="48484A" w:themeColor="text1"/>
        <w:sz w:val="24"/>
      </w:rPr>
      <w:t>i</w:t>
    </w:r>
    <w:r w:rsidRPr="00FE4456">
      <w:rPr>
        <w:noProof/>
        <w:color w:val="48484A" w:themeColor="text1"/>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874D0" w14:textId="77777777" w:rsidR="003C505F" w:rsidRPr="009C0E19" w:rsidRDefault="003C505F" w:rsidP="00401F48">
    <w:pPr>
      <w:pStyle w:val="Footer"/>
      <w:rPr>
        <w:color w:val="48484A" w:themeColor="text1"/>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6ED" w14:textId="77777777" w:rsidR="003C505F" w:rsidRPr="00E841B5" w:rsidRDefault="00E841B5" w:rsidP="00E841B5">
    <w:pPr>
      <w:tabs>
        <w:tab w:val="center" w:pos="4680"/>
        <w:tab w:val="right" w:pos="9360"/>
      </w:tabs>
      <w:jc w:val="center"/>
    </w:pPr>
    <w:r>
      <w:rPr>
        <w:noProof/>
        <w:sz w:val="24"/>
      </w:rPr>
      <w:drawing>
        <wp:inline distT="0" distB="0" distL="0" distR="0" wp14:anchorId="37D7EBA2" wp14:editId="7177725A">
          <wp:extent cx="709749" cy="182880"/>
          <wp:effectExtent l="0" t="0" r="0" b="7620"/>
          <wp:docPr id="551389224" name="Picture 551389224" descr="A black and grey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2476" name="Picture 1" descr="A black and grey letter&#10;&#10;Description automatically generated"/>
                  <pic:cNvPicPr/>
                </pic:nvPicPr>
                <pic:blipFill>
                  <a:blip r:embed="rId1"/>
                  <a:stretch>
                    <a:fillRect/>
                  </a:stretch>
                </pic:blipFill>
                <pic:spPr>
                  <a:xfrm>
                    <a:off x="0" y="0"/>
                    <a:ext cx="709749" cy="182880"/>
                  </a:xfrm>
                  <a:prstGeom prst="rect">
                    <a:avLst/>
                  </a:prstGeom>
                </pic:spPr>
              </pic:pic>
            </a:graphicData>
          </a:graphic>
        </wp:inline>
      </w:drawing>
    </w:r>
    <w:r>
      <w:rPr>
        <w:sz w:val="24"/>
      </w:rPr>
      <w:tab/>
    </w:r>
    <w:r>
      <w:rPr>
        <w:sz w:val="24"/>
      </w:rPr>
      <w:tab/>
    </w:r>
    <w:r w:rsidRPr="0029189D">
      <w:rPr>
        <w:sz w:val="24"/>
      </w:rPr>
      <w:fldChar w:fldCharType="begin"/>
    </w:r>
    <w:r w:rsidRPr="0029189D">
      <w:rPr>
        <w:sz w:val="24"/>
      </w:rPr>
      <w:instrText xml:space="preserve"> PAGE   \* MERGEFORMAT </w:instrText>
    </w:r>
    <w:r w:rsidRPr="0029189D">
      <w:rPr>
        <w:sz w:val="24"/>
      </w:rPr>
      <w:fldChar w:fldCharType="separate"/>
    </w:r>
    <w:r>
      <w:rPr>
        <w:sz w:val="24"/>
      </w:rPr>
      <w:t>1</w:t>
    </w:r>
    <w:r w:rsidRPr="0029189D">
      <w:rPr>
        <w:noProof/>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B81A7" w14:textId="77777777" w:rsidR="0045236C" w:rsidRDefault="0045236C" w:rsidP="00FC093E">
      <w:bookmarkStart w:id="0" w:name="_Hlk480209584"/>
      <w:bookmarkEnd w:id="0"/>
      <w:r>
        <w:separator/>
      </w:r>
    </w:p>
  </w:footnote>
  <w:footnote w:type="continuationSeparator" w:id="0">
    <w:p w14:paraId="12F6A1DF" w14:textId="77777777" w:rsidR="0045236C" w:rsidRDefault="0045236C" w:rsidP="00FC093E">
      <w:r>
        <w:continuationSeparator/>
      </w:r>
    </w:p>
  </w:footnote>
  <w:footnote w:type="continuationNotice" w:id="1">
    <w:p w14:paraId="6DC6FA32" w14:textId="77777777" w:rsidR="0045236C" w:rsidRDefault="004523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2240" w:type="dxa"/>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0"/>
      <w:gridCol w:w="8190"/>
    </w:tblGrid>
    <w:tr w:rsidR="000C786D" w14:paraId="7CAB72B7" w14:textId="77777777" w:rsidTr="00D5479B">
      <w:trPr>
        <w:trHeight w:val="720"/>
      </w:trPr>
      <w:tc>
        <w:tcPr>
          <w:tcW w:w="12240" w:type="dxa"/>
          <w:gridSpan w:val="2"/>
          <w:vAlign w:val="bottom"/>
        </w:tcPr>
        <w:p w14:paraId="573DE5F3" w14:textId="77777777" w:rsidR="000C786D" w:rsidRDefault="00D6720F" w:rsidP="000C786D">
          <w:pPr>
            <w:pStyle w:val="Header"/>
            <w:ind w:firstLine="3676"/>
          </w:pPr>
          <w:r>
            <w:rPr>
              <w:noProof/>
            </w:rPr>
            <w:drawing>
              <wp:anchor distT="0" distB="0" distL="114300" distR="114300" simplePos="0" relativeHeight="251658241" behindDoc="1" locked="0" layoutInCell="1" allowOverlap="1" wp14:anchorId="4C15B69B" wp14:editId="780B3A03">
                <wp:simplePos x="0" y="0"/>
                <wp:positionH relativeFrom="column">
                  <wp:posOffset>2343150</wp:posOffset>
                </wp:positionH>
                <wp:positionV relativeFrom="paragraph">
                  <wp:posOffset>67310</wp:posOffset>
                </wp:positionV>
                <wp:extent cx="1954530" cy="548640"/>
                <wp:effectExtent l="0" t="0" r="7620" b="3810"/>
                <wp:wrapNone/>
                <wp:docPr id="159092397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23975" name="Picture 1" descr="A black and white logo&#10;&#10;Description automatically generated"/>
                        <pic:cNvPicPr/>
                      </pic:nvPicPr>
                      <pic:blipFill>
                        <a:blip r:embed="rId1"/>
                        <a:stretch>
                          <a:fillRect/>
                        </a:stretch>
                      </pic:blipFill>
                      <pic:spPr>
                        <a:xfrm>
                          <a:off x="0" y="0"/>
                          <a:ext cx="1954530" cy="548640"/>
                        </a:xfrm>
                        <a:prstGeom prst="rect">
                          <a:avLst/>
                        </a:prstGeom>
                      </pic:spPr>
                    </pic:pic>
                  </a:graphicData>
                </a:graphic>
                <wp14:sizeRelH relativeFrom="page">
                  <wp14:pctWidth>0</wp14:pctWidth>
                </wp14:sizeRelH>
                <wp14:sizeRelV relativeFrom="page">
                  <wp14:pctHeight>0</wp14:pctHeight>
                </wp14:sizeRelV>
              </wp:anchor>
            </w:drawing>
          </w:r>
        </w:p>
      </w:tc>
    </w:tr>
    <w:tr w:rsidR="000C786D" w14:paraId="3F3BAE70" w14:textId="77777777" w:rsidTr="00D5479B">
      <w:trPr>
        <w:trHeight w:val="1152"/>
      </w:trPr>
      <w:tc>
        <w:tcPr>
          <w:tcW w:w="4050" w:type="dxa"/>
          <w:vMerge w:val="restart"/>
          <w:vAlign w:val="bottom"/>
        </w:tcPr>
        <w:p w14:paraId="585CD5B5" w14:textId="77777777" w:rsidR="000C786D" w:rsidRDefault="000C786D" w:rsidP="000C786D">
          <w:pPr>
            <w:pStyle w:val="Header"/>
            <w:jc w:val="right"/>
          </w:pPr>
        </w:p>
      </w:tc>
      <w:tc>
        <w:tcPr>
          <w:tcW w:w="8190" w:type="dxa"/>
        </w:tcPr>
        <w:p w14:paraId="7C7F6B13" w14:textId="77777777" w:rsidR="000C786D" w:rsidRDefault="000C786D" w:rsidP="000C786D">
          <w:pPr>
            <w:pStyle w:val="Header"/>
          </w:pPr>
        </w:p>
      </w:tc>
    </w:tr>
    <w:tr w:rsidR="000C786D" w:rsidRPr="001352D4" w14:paraId="6F8655E6" w14:textId="77777777" w:rsidTr="00D5479B">
      <w:trPr>
        <w:trHeight w:val="720"/>
      </w:trPr>
      <w:tc>
        <w:tcPr>
          <w:tcW w:w="4050" w:type="dxa"/>
          <w:vMerge/>
          <w:tcBorders>
            <w:right w:val="single" w:sz="4" w:space="0" w:color="F68B1F" w:themeColor="background2"/>
          </w:tcBorders>
        </w:tcPr>
        <w:p w14:paraId="6F9FE650" w14:textId="77777777" w:rsidR="000C786D" w:rsidRDefault="000C786D" w:rsidP="000C786D">
          <w:pPr>
            <w:pStyle w:val="Header"/>
          </w:pPr>
        </w:p>
      </w:tc>
      <w:tc>
        <w:tcPr>
          <w:tcW w:w="8190" w:type="dxa"/>
          <w:tcBorders>
            <w:left w:val="single" w:sz="4" w:space="0" w:color="F68B1F" w:themeColor="background2"/>
          </w:tcBorders>
        </w:tcPr>
        <w:sdt>
          <w:sdtPr>
            <w:rPr>
              <w:rFonts w:cs="Arial"/>
              <w:b/>
              <w:caps/>
              <w:color w:val="F68B1F" w:themeColor="background2"/>
              <w:sz w:val="32"/>
              <w:szCs w:val="32"/>
            </w:rPr>
            <w:alias w:val="Company"/>
            <w:tag w:val=""/>
            <w:id w:val="890392179"/>
            <w:placeholder>
              <w:docPart w:val="F18F5F3761744941863AD6365C9678D1"/>
            </w:placeholder>
            <w:dataBinding w:prefixMappings="xmlns:ns0='http://schemas.openxmlformats.org/officeDocument/2006/extended-properties' " w:xpath="/ns0:Properties[1]/ns0:Company[1]" w:storeItemID="{6668398D-A668-4E3E-A5EB-62B293D839F1}"/>
            <w:text/>
          </w:sdtPr>
          <w:sdtEndPr/>
          <w:sdtContent>
            <w:p w14:paraId="64536CEB" w14:textId="5096FC54" w:rsidR="000C786D" w:rsidRPr="001352D4" w:rsidRDefault="00C138A9" w:rsidP="000C786D">
              <w:pPr>
                <w:ind w:left="252" w:right="1241"/>
                <w:rPr>
                  <w:rFonts w:cs="Arial"/>
                  <w:b/>
                  <w:caps/>
                  <w:color w:val="FFFFFF" w:themeColor="background1"/>
                  <w:sz w:val="32"/>
                  <w:szCs w:val="32"/>
                </w:rPr>
              </w:pPr>
              <w:r>
                <w:rPr>
                  <w:rFonts w:cs="Arial"/>
                  <w:b/>
                  <w:color w:val="F68B1F" w:themeColor="background2"/>
                  <w:sz w:val="32"/>
                  <w:szCs w:val="32"/>
                </w:rPr>
                <w:t>Fresno COG</w:t>
              </w:r>
            </w:p>
          </w:sdtContent>
        </w:sdt>
      </w:tc>
    </w:tr>
    <w:tr w:rsidR="000C786D" w:rsidRPr="0096383F" w14:paraId="1A3B04EB" w14:textId="77777777" w:rsidTr="00D5479B">
      <w:trPr>
        <w:trHeight w:val="1440"/>
      </w:trPr>
      <w:tc>
        <w:tcPr>
          <w:tcW w:w="4050" w:type="dxa"/>
          <w:vMerge/>
          <w:tcBorders>
            <w:right w:val="single" w:sz="4" w:space="0" w:color="F68B1F" w:themeColor="background2"/>
          </w:tcBorders>
        </w:tcPr>
        <w:p w14:paraId="0F9A534A" w14:textId="77777777" w:rsidR="000C786D" w:rsidRDefault="000C786D" w:rsidP="000C786D">
          <w:pPr>
            <w:pStyle w:val="Header"/>
          </w:pPr>
        </w:p>
      </w:tc>
      <w:tc>
        <w:tcPr>
          <w:tcW w:w="8190" w:type="dxa"/>
          <w:tcBorders>
            <w:left w:val="single" w:sz="4" w:space="0" w:color="F68B1F" w:themeColor="background2"/>
          </w:tcBorders>
          <w:vAlign w:val="center"/>
        </w:tcPr>
        <w:sdt>
          <w:sdtPr>
            <w:rPr>
              <w:b/>
              <w:caps/>
              <w:color w:val="262626" w:themeColor="text2"/>
              <w:sz w:val="48"/>
              <w:szCs w:val="48"/>
            </w:rPr>
            <w:alias w:val="Title"/>
            <w:tag w:val=""/>
            <w:id w:val="-648440169"/>
            <w:dataBinding w:prefixMappings="xmlns:ns0='http://purl.org/dc/elements/1.1/' xmlns:ns1='http://schemas.openxmlformats.org/package/2006/metadata/core-properties' " w:xpath="/ns1:coreProperties[1]/ns0:title[1]" w:storeItemID="{6C3C8BC8-F283-45AE-878A-BAB7291924A1}"/>
            <w:text/>
          </w:sdtPr>
          <w:sdtEndPr/>
          <w:sdtContent>
            <w:p w14:paraId="2E7A05BE" w14:textId="3E6EA355" w:rsidR="000C786D" w:rsidRPr="0096383F" w:rsidRDefault="00776D65" w:rsidP="000C786D">
              <w:pPr>
                <w:pStyle w:val="Header"/>
                <w:ind w:left="252" w:right="525"/>
                <w:rPr>
                  <w:b/>
                  <w:caps/>
                  <w:color w:val="262626" w:themeColor="text2"/>
                  <w:sz w:val="56"/>
                  <w:szCs w:val="56"/>
                </w:rPr>
              </w:pPr>
              <w:r>
                <w:rPr>
                  <w:b/>
                  <w:caps/>
                  <w:color w:val="262626" w:themeColor="text2"/>
                  <w:sz w:val="48"/>
                  <w:szCs w:val="48"/>
                </w:rPr>
                <w:t xml:space="preserve">Valley-Wide </w:t>
              </w:r>
              <w:r w:rsidR="00C138A9">
                <w:rPr>
                  <w:b/>
                  <w:caps/>
                  <w:color w:val="262626" w:themeColor="text2"/>
                  <w:sz w:val="48"/>
                  <w:szCs w:val="48"/>
                </w:rPr>
                <w:t>VisionEval Model</w:t>
              </w:r>
            </w:p>
          </w:sdtContent>
        </w:sdt>
      </w:tc>
    </w:tr>
    <w:tr w:rsidR="000C786D" w:rsidRPr="001352D4" w14:paraId="2663332D" w14:textId="77777777" w:rsidTr="00D5479B">
      <w:trPr>
        <w:trHeight w:val="720"/>
      </w:trPr>
      <w:tc>
        <w:tcPr>
          <w:tcW w:w="4050" w:type="dxa"/>
          <w:vMerge/>
          <w:tcBorders>
            <w:right w:val="single" w:sz="4" w:space="0" w:color="F68B1F" w:themeColor="background2"/>
          </w:tcBorders>
        </w:tcPr>
        <w:p w14:paraId="65387C5E" w14:textId="77777777" w:rsidR="000C786D" w:rsidRDefault="000C786D" w:rsidP="000C786D">
          <w:pPr>
            <w:pStyle w:val="Header"/>
          </w:pPr>
        </w:p>
      </w:tc>
      <w:tc>
        <w:tcPr>
          <w:tcW w:w="8190" w:type="dxa"/>
          <w:tcBorders>
            <w:left w:val="single" w:sz="4" w:space="0" w:color="F68B1F" w:themeColor="background2"/>
          </w:tcBorders>
          <w:vAlign w:val="bottom"/>
        </w:tcPr>
        <w:p w14:paraId="4308098D" w14:textId="4EAA08B5" w:rsidR="000C786D" w:rsidRPr="001352D4" w:rsidRDefault="006B716A" w:rsidP="000C786D">
          <w:pPr>
            <w:pStyle w:val="Header"/>
            <w:ind w:left="252" w:right="1241"/>
            <w:rPr>
              <w:rFonts w:ascii="Arial" w:hAnsi="Arial" w:cs="Arial"/>
              <w:b/>
              <w:color w:val="262626" w:themeColor="text2"/>
              <w:sz w:val="28"/>
              <w:szCs w:val="28"/>
            </w:rPr>
          </w:pPr>
          <w:sdt>
            <w:sdtPr>
              <w:rPr>
                <w:rFonts w:ascii="Arial" w:hAnsi="Arial" w:cs="Arial"/>
                <w:b/>
                <w:color w:val="262626" w:themeColor="text2"/>
                <w:sz w:val="28"/>
                <w:szCs w:val="28"/>
              </w:rPr>
              <w:alias w:val="Publish Date"/>
              <w:tag w:val=""/>
              <w:id w:val="744846460"/>
              <w:dataBinding w:prefixMappings="xmlns:ns0='http://schemas.microsoft.com/office/2006/coverPageProps' " w:xpath="/ns0:CoverPageProperties[1]/ns0:PublishDate[1]" w:storeItemID="{55AF091B-3C7A-41E3-B477-F2FDAA23CFDA}"/>
              <w:date w:fullDate="2025-04-22T00:00:00Z">
                <w:dateFormat w:val="MMMM d, yyyy"/>
                <w:lid w:val="en-US"/>
                <w:storeMappedDataAs w:val="dateTime"/>
                <w:calendar w:val="gregorian"/>
              </w:date>
            </w:sdtPr>
            <w:sdtEndPr/>
            <w:sdtContent>
              <w:r w:rsidR="00C138A9">
                <w:rPr>
                  <w:rFonts w:ascii="Arial" w:hAnsi="Arial" w:cs="Arial"/>
                  <w:b/>
                  <w:color w:val="262626" w:themeColor="text2"/>
                  <w:sz w:val="28"/>
                  <w:szCs w:val="28"/>
                </w:rPr>
                <w:t>April 2</w:t>
              </w:r>
              <w:r w:rsidR="00776D65">
                <w:rPr>
                  <w:rFonts w:ascii="Arial" w:hAnsi="Arial" w:cs="Arial"/>
                  <w:b/>
                  <w:color w:val="262626" w:themeColor="text2"/>
                  <w:sz w:val="28"/>
                  <w:szCs w:val="28"/>
                </w:rPr>
                <w:t>2</w:t>
              </w:r>
              <w:r w:rsidR="00C138A9">
                <w:rPr>
                  <w:rFonts w:ascii="Arial" w:hAnsi="Arial" w:cs="Arial"/>
                  <w:b/>
                  <w:color w:val="262626" w:themeColor="text2"/>
                  <w:sz w:val="28"/>
                  <w:szCs w:val="28"/>
                </w:rPr>
                <w:t>, 2025</w:t>
              </w:r>
            </w:sdtContent>
          </w:sdt>
        </w:p>
      </w:tc>
    </w:tr>
  </w:tbl>
  <w:p w14:paraId="46AF0DBA" w14:textId="77777777" w:rsidR="003C505F" w:rsidRDefault="003C50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96C8" w14:textId="77777777" w:rsidR="003C505F" w:rsidRDefault="003C505F" w:rsidP="000A6E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42A03" w14:textId="77777777" w:rsidR="003C505F" w:rsidRPr="00464FA4" w:rsidRDefault="003C505F" w:rsidP="00464FA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40" w:type="dxa"/>
      <w:tblInd w:w="-3600" w:type="dxa"/>
      <w:tblLook w:val="04A0" w:firstRow="1" w:lastRow="0" w:firstColumn="1" w:lastColumn="0" w:noHBand="0" w:noVBand="1"/>
    </w:tblPr>
    <w:tblGrid>
      <w:gridCol w:w="3600"/>
      <w:gridCol w:w="8640"/>
    </w:tblGrid>
    <w:tr w:rsidR="003C505F" w:rsidRPr="00D04B61" w14:paraId="3B8AEAE9" w14:textId="77777777" w:rsidTr="00D10D69">
      <w:trPr>
        <w:trHeight w:val="1296"/>
      </w:trPr>
      <w:tc>
        <w:tcPr>
          <w:tcW w:w="12240" w:type="dxa"/>
          <w:gridSpan w:val="2"/>
        </w:tcPr>
        <w:p w14:paraId="0220B34B" w14:textId="77777777" w:rsidR="003C505F" w:rsidRPr="00693B68" w:rsidRDefault="003C505F" w:rsidP="00693B68">
          <w:pPr>
            <w:tabs>
              <w:tab w:val="center" w:pos="4680"/>
              <w:tab w:val="right" w:pos="9360"/>
            </w:tabs>
            <w:ind w:firstLine="252"/>
            <w:rPr>
              <w:rFonts w:ascii="Arial Bold" w:hAnsi="Arial Bold"/>
              <w:b/>
              <w:color w:val="FFFFFF" w:themeColor="background1"/>
              <w:sz w:val="20"/>
              <w:szCs w:val="20"/>
            </w:rPr>
          </w:pPr>
          <w:bookmarkStart w:id="3" w:name="_Hlk81478963"/>
        </w:p>
      </w:tc>
    </w:tr>
    <w:tr w:rsidR="003C505F" w:rsidRPr="00D04B61" w14:paraId="23151C12" w14:textId="77777777" w:rsidTr="00D10D69">
      <w:trPr>
        <w:trHeight w:val="720"/>
      </w:trPr>
      <w:tc>
        <w:tcPr>
          <w:tcW w:w="3600" w:type="dxa"/>
          <w:tcBorders>
            <w:right w:val="single" w:sz="4" w:space="0" w:color="F68B1F" w:themeColor="background2"/>
          </w:tcBorders>
        </w:tcPr>
        <w:p w14:paraId="5B62BBFF" w14:textId="77777777" w:rsidR="003C505F" w:rsidRPr="00D04B61" w:rsidRDefault="003C505F" w:rsidP="00693B68">
          <w:pPr>
            <w:tabs>
              <w:tab w:val="left" w:pos="1062"/>
              <w:tab w:val="center" w:pos="4680"/>
              <w:tab w:val="right" w:pos="9360"/>
            </w:tabs>
            <w:ind w:right="67"/>
            <w:jc w:val="right"/>
            <w:rPr>
              <w:color w:val="757578" w:themeColor="text1" w:themeTint="BF"/>
              <w:sz w:val="18"/>
            </w:rPr>
          </w:pPr>
          <w:r w:rsidRPr="00D04B61">
            <w:rPr>
              <w:noProof/>
              <w:color w:val="757578" w:themeColor="text1" w:themeTint="BF"/>
              <w:sz w:val="18"/>
            </w:rPr>
            <w:drawing>
              <wp:inline distT="0" distB="0" distL="0" distR="0" wp14:anchorId="6229345B" wp14:editId="61CA5F3F">
                <wp:extent cx="407677" cy="4572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G_mark_cmyk.jpg"/>
                        <pic:cNvPicPr/>
                      </pic:nvPicPr>
                      <pic:blipFill rotWithShape="1">
                        <a:blip r:embed="rId1">
                          <a:extLst>
                            <a:ext uri="{28A0092B-C50C-407E-A947-70E740481C1C}">
                              <a14:useLocalDpi xmlns:a14="http://schemas.microsoft.com/office/drawing/2010/main" val="0"/>
                            </a:ext>
                          </a:extLst>
                        </a:blip>
                        <a:srcRect r="9975"/>
                        <a:stretch/>
                      </pic:blipFill>
                      <pic:spPr bwMode="auto">
                        <a:xfrm>
                          <a:off x="0" y="0"/>
                          <a:ext cx="407677"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8640" w:type="dxa"/>
          <w:tcBorders>
            <w:left w:val="single" w:sz="4" w:space="0" w:color="F68B1F" w:themeColor="background2"/>
          </w:tcBorders>
          <w:vAlign w:val="center"/>
        </w:tcPr>
        <w:sdt>
          <w:sdtPr>
            <w:rPr>
              <w:b/>
              <w:caps/>
            </w:rPr>
            <w:alias w:val="Title"/>
            <w:id w:val="-44453059"/>
            <w:dataBinding w:prefixMappings="xmlns:ns0='http://purl.org/dc/elements/1.1/' xmlns:ns1='http://schemas.openxmlformats.org/package/2006/metadata/core-properties' " w:xpath="/ns1:coreProperties[1]/ns0:title[1]" w:storeItemID="{6C3C8BC8-F283-45AE-878A-BAB7291924A1}"/>
            <w:text/>
          </w:sdtPr>
          <w:sdtEndPr/>
          <w:sdtContent>
            <w:p w14:paraId="75D2FDD3" w14:textId="2446A0C6" w:rsidR="003C505F" w:rsidRPr="006936FA" w:rsidRDefault="00776D65" w:rsidP="006936FA">
              <w:pPr>
                <w:tabs>
                  <w:tab w:val="center" w:pos="9258"/>
                  <w:tab w:val="right" w:pos="9360"/>
                </w:tabs>
                <w:ind w:left="68" w:right="1238"/>
                <w:rPr>
                  <w:b/>
                  <w:caps/>
                </w:rPr>
              </w:pPr>
              <w:r>
                <w:rPr>
                  <w:b/>
                  <w:caps/>
                </w:rPr>
                <w:t>Valley-Wide VisionEval Model</w:t>
              </w:r>
            </w:p>
          </w:sdtContent>
        </w:sdt>
        <w:sdt>
          <w:sdtPr>
            <w:rPr>
              <w:rFonts w:ascii="Arial Bold" w:hAnsi="Arial Bold"/>
              <w:b/>
              <w:color w:val="F68B1F" w:themeColor="background2"/>
            </w:rPr>
            <w:alias w:val="Company"/>
            <w:id w:val="-1524622032"/>
            <w:dataBinding w:prefixMappings="xmlns:ns0='http://schemas.openxmlformats.org/officeDocument/2006/extended-properties' " w:xpath="/ns0:Properties[1]/ns0:Company[1]" w:storeItemID="{6668398D-A668-4E3E-A5EB-62B293D839F1}"/>
            <w:text/>
          </w:sdtPr>
          <w:sdtEndPr/>
          <w:sdtContent>
            <w:p w14:paraId="3A607FD7" w14:textId="5C01587C" w:rsidR="003C505F" w:rsidRPr="006936FA" w:rsidRDefault="00C138A9" w:rsidP="006936FA">
              <w:pPr>
                <w:tabs>
                  <w:tab w:val="center" w:pos="4680"/>
                  <w:tab w:val="right" w:pos="9360"/>
                </w:tabs>
                <w:spacing w:after="60"/>
                <w:ind w:left="68"/>
                <w:rPr>
                  <w:rFonts w:ascii="Arial Bold" w:hAnsi="Arial Bold"/>
                  <w:b/>
                  <w:color w:val="F68B1F" w:themeColor="background2"/>
                </w:rPr>
              </w:pPr>
              <w:r>
                <w:rPr>
                  <w:rFonts w:ascii="Arial Bold" w:hAnsi="Arial Bold"/>
                  <w:b/>
                  <w:color w:val="F68B1F" w:themeColor="background2"/>
                </w:rPr>
                <w:t>Fresno COG</w:t>
              </w:r>
            </w:p>
          </w:sdtContent>
        </w:sdt>
      </w:tc>
    </w:tr>
    <w:tr w:rsidR="003C505F" w:rsidRPr="00D04B61" w14:paraId="40CE752F" w14:textId="77777777" w:rsidTr="00D10D69">
      <w:trPr>
        <w:trHeight w:val="144"/>
      </w:trPr>
      <w:tc>
        <w:tcPr>
          <w:tcW w:w="12240" w:type="dxa"/>
          <w:gridSpan w:val="2"/>
          <w:shd w:val="clear" w:color="auto" w:fill="auto"/>
        </w:tcPr>
        <w:p w14:paraId="7BE2A485" w14:textId="77777777" w:rsidR="003C505F" w:rsidRPr="00D04B61" w:rsidRDefault="003C505F" w:rsidP="00D04B61">
          <w:pPr>
            <w:tabs>
              <w:tab w:val="center" w:pos="4680"/>
              <w:tab w:val="right" w:pos="9360"/>
            </w:tabs>
            <w:rPr>
              <w:color w:val="757578" w:themeColor="text1" w:themeTint="BF"/>
            </w:rPr>
          </w:pPr>
        </w:p>
      </w:tc>
    </w:tr>
    <w:tr w:rsidR="003C505F" w:rsidRPr="00D04B61" w14:paraId="7B9D77A1" w14:textId="77777777" w:rsidTr="00D10D69">
      <w:trPr>
        <w:trHeight w:val="432"/>
      </w:trPr>
      <w:tc>
        <w:tcPr>
          <w:tcW w:w="12240" w:type="dxa"/>
          <w:gridSpan w:val="2"/>
          <w:shd w:val="clear" w:color="auto" w:fill="48484A" w:themeFill="text1"/>
        </w:tcPr>
        <w:p w14:paraId="4B725115" w14:textId="77777777" w:rsidR="003C505F" w:rsidRPr="00D04B61" w:rsidRDefault="003C505F" w:rsidP="00D04B61">
          <w:pPr>
            <w:tabs>
              <w:tab w:val="center" w:pos="4680"/>
              <w:tab w:val="right" w:pos="9360"/>
            </w:tabs>
            <w:rPr>
              <w:color w:val="757578" w:themeColor="text1" w:themeTint="BF"/>
            </w:rPr>
          </w:pPr>
        </w:p>
      </w:tc>
    </w:tr>
    <w:tr w:rsidR="003C505F" w:rsidRPr="00D04B61" w14:paraId="1206F0E1" w14:textId="77777777" w:rsidTr="00D10D69">
      <w:trPr>
        <w:trHeight w:val="3168"/>
      </w:trPr>
      <w:tc>
        <w:tcPr>
          <w:tcW w:w="12240" w:type="dxa"/>
          <w:gridSpan w:val="2"/>
          <w:shd w:val="clear" w:color="auto" w:fill="F68B1F" w:themeFill="background2"/>
        </w:tcPr>
        <w:p w14:paraId="630355FF" w14:textId="77777777" w:rsidR="003C505F" w:rsidRPr="0096383F" w:rsidRDefault="003C505F" w:rsidP="00D04B61">
          <w:pPr>
            <w:tabs>
              <w:tab w:val="center" w:pos="4680"/>
              <w:tab w:val="right" w:pos="9360"/>
            </w:tabs>
            <w:ind w:firstLine="1332"/>
            <w:rPr>
              <w:b/>
              <w:color w:val="FFFFFF" w:themeColor="background1"/>
              <w:spacing w:val="40"/>
              <w:sz w:val="80"/>
              <w:szCs w:val="80"/>
            </w:rPr>
          </w:pPr>
          <w:r w:rsidRPr="0096383F">
            <w:rPr>
              <w:b/>
              <w:noProof/>
              <w:color w:val="FFFFFF" w:themeColor="background1"/>
              <w:spacing w:val="40"/>
              <w:sz w:val="80"/>
              <w:szCs w:val="80"/>
            </w:rPr>
            <mc:AlternateContent>
              <mc:Choice Requires="wps">
                <w:drawing>
                  <wp:anchor distT="0" distB="0" distL="114300" distR="114300" simplePos="0" relativeHeight="251658240" behindDoc="0" locked="0" layoutInCell="1" allowOverlap="1" wp14:anchorId="2BB4EC13" wp14:editId="56D155DD">
                    <wp:simplePos x="0" y="0"/>
                    <wp:positionH relativeFrom="column">
                      <wp:posOffset>1791970</wp:posOffset>
                    </wp:positionH>
                    <wp:positionV relativeFrom="paragraph">
                      <wp:posOffset>1298400</wp:posOffset>
                    </wp:positionV>
                    <wp:extent cx="4785995" cy="878205"/>
                    <wp:effectExtent l="0" t="0" r="0" b="0"/>
                    <wp:wrapNone/>
                    <wp:docPr id="9" name="Text Box 9"/>
                    <wp:cNvGraphicFramePr/>
                    <a:graphic xmlns:a="http://schemas.openxmlformats.org/drawingml/2006/main">
                      <a:graphicData uri="http://schemas.microsoft.com/office/word/2010/wordprocessingShape">
                        <wps:wsp>
                          <wps:cNvSpPr txBox="1"/>
                          <wps:spPr>
                            <a:xfrm>
                              <a:off x="0" y="0"/>
                              <a:ext cx="4785995" cy="878205"/>
                            </a:xfrm>
                            <a:prstGeom prst="rect">
                              <a:avLst/>
                            </a:prstGeom>
                            <a:noFill/>
                            <a:ln w="6350">
                              <a:noFill/>
                            </a:ln>
                            <a:effectLst/>
                          </wps:spPr>
                          <wps:txbx>
                            <w:txbxContent>
                              <w:p w14:paraId="0E6AD1FF" w14:textId="77777777" w:rsidR="003C505F" w:rsidRPr="006936FA" w:rsidRDefault="003C505F" w:rsidP="0046199D">
                                <w:pPr>
                                  <w:ind w:firstLine="450"/>
                                  <w:rPr>
                                    <w:rFonts w:cs="Arial"/>
                                    <w:bCs/>
                                    <w:color w:val="FFFFFF" w:themeColor="background1"/>
                                    <w:sz w:val="116"/>
                                    <w:szCs w:val="116"/>
                                  </w:rPr>
                                </w:pPr>
                                <w:r w:rsidRPr="006936FA">
                                  <w:rPr>
                                    <w:rFonts w:cs="Arial"/>
                                    <w:bCs/>
                                    <w:color w:val="FFFFFF" w:themeColor="background1"/>
                                    <w:spacing w:val="40"/>
                                    <w:sz w:val="116"/>
                                    <w:szCs w:val="11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4EC13" id="_x0000_t202" coordsize="21600,21600" o:spt="202" path="m,l,21600r21600,l21600,xe">
                    <v:stroke joinstyle="miter"/>
                    <v:path gradientshapeok="t" o:connecttype="rect"/>
                  </v:shapetype>
                  <v:shape id="Text Box 9" o:spid="_x0000_s1026" type="#_x0000_t202" style="position:absolute;left:0;text-align:left;margin-left:141.1pt;margin-top:102.25pt;width:376.85pt;height:6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" filled="f" stroked="f" strokeweight=".5pt">
                    <v:textbox>
                      <w:txbxContent>
                        <w:p w14:paraId="0E6AD1FF" w14:textId="77777777" w:rsidR="003C505F" w:rsidRPr="006936FA" w:rsidRDefault="003C505F" w:rsidP="0046199D">
                          <w:pPr>
                            <w:ind w:firstLine="450"/>
                            <w:rPr>
                              <w:rFonts w:cs="Arial"/>
                              <w:bCs/>
                              <w:color w:val="FFFFFF" w:themeColor="background1"/>
                              <w:sz w:val="116"/>
                              <w:szCs w:val="116"/>
                            </w:rPr>
                          </w:pPr>
                          <w:r w:rsidRPr="006936FA">
                            <w:rPr>
                              <w:rFonts w:cs="Arial"/>
                              <w:bCs/>
                              <w:color w:val="FFFFFF" w:themeColor="background1"/>
                              <w:spacing w:val="40"/>
                              <w:sz w:val="116"/>
                              <w:szCs w:val="116"/>
                            </w:rPr>
                            <w:t>CONTENTS</w:t>
                          </w:r>
                        </w:p>
                      </w:txbxContent>
                    </v:textbox>
                  </v:shape>
                </w:pict>
              </mc:Fallback>
            </mc:AlternateContent>
          </w:r>
        </w:p>
      </w:tc>
    </w:tr>
    <w:tr w:rsidR="003C505F" w:rsidRPr="00D04B61" w14:paraId="3761E88A" w14:textId="77777777" w:rsidTr="00D10D69">
      <w:trPr>
        <w:trHeight w:val="288"/>
      </w:trPr>
      <w:tc>
        <w:tcPr>
          <w:tcW w:w="12240" w:type="dxa"/>
          <w:gridSpan w:val="2"/>
          <w:shd w:val="clear" w:color="auto" w:fill="FFFFFF" w:themeFill="background1"/>
        </w:tcPr>
        <w:p w14:paraId="2F53A807" w14:textId="77777777" w:rsidR="003C505F" w:rsidRPr="00D04B61" w:rsidRDefault="003C505F" w:rsidP="00520767">
          <w:pPr>
            <w:tabs>
              <w:tab w:val="center" w:pos="4680"/>
              <w:tab w:val="right" w:pos="9360"/>
            </w:tabs>
            <w:ind w:firstLine="1339"/>
            <w:rPr>
              <w:b/>
              <w:noProof/>
              <w:spacing w:val="40"/>
            </w:rPr>
          </w:pPr>
        </w:p>
      </w:tc>
    </w:tr>
    <w:bookmarkEnd w:id="3"/>
  </w:tbl>
  <w:p w14:paraId="4222C15C" w14:textId="77777777" w:rsidR="003C505F" w:rsidRDefault="003C50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93B1A" w14:textId="77777777" w:rsidR="003C505F" w:rsidRPr="00401F48" w:rsidRDefault="003C505F" w:rsidP="00401F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alias w:val="Title"/>
      <w:tag w:val=""/>
      <w:id w:val="1526128964"/>
      <w:dataBinding w:prefixMappings="xmlns:ns0='http://purl.org/dc/elements/1.1/' xmlns:ns1='http://schemas.openxmlformats.org/package/2006/metadata/core-properties' " w:xpath="/ns1:coreProperties[1]/ns0:title[1]" w:storeItemID="{6C3C8BC8-F283-45AE-878A-BAB7291924A1}"/>
      <w:text/>
    </w:sdtPr>
    <w:sdtEndPr/>
    <w:sdtContent>
      <w:p w14:paraId="1008B356" w14:textId="05CBD844" w:rsidR="003C505F" w:rsidRPr="00C46312" w:rsidRDefault="00776D65" w:rsidP="00C46312">
        <w:pPr>
          <w:pBdr>
            <w:left w:val="single" w:sz="4" w:space="4" w:color="F68B1F" w:themeColor="background2"/>
          </w:pBdr>
          <w:tabs>
            <w:tab w:val="center" w:pos="4680"/>
            <w:tab w:val="right" w:pos="9360"/>
          </w:tabs>
          <w:spacing w:before="60" w:after="60"/>
          <w:rPr>
            <w:sz w:val="24"/>
            <w:szCs w:val="24"/>
          </w:rPr>
        </w:pPr>
        <w:r>
          <w:rPr>
            <w:sz w:val="24"/>
            <w:szCs w:val="24"/>
          </w:rPr>
          <w:t xml:space="preserve">Valley-Wide </w:t>
        </w:r>
        <w:proofErr w:type="spellStart"/>
        <w:r>
          <w:rPr>
            <w:sz w:val="24"/>
            <w:szCs w:val="24"/>
          </w:rPr>
          <w:t>VisionEval</w:t>
        </w:r>
        <w:proofErr w:type="spellEnd"/>
        <w:r>
          <w:rPr>
            <w:sz w:val="24"/>
            <w:szCs w:val="24"/>
          </w:rPr>
          <w:t xml:space="preserve"> Model</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441D"/>
    <w:multiLevelType w:val="multilevel"/>
    <w:tmpl w:val="BBAE7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2136D"/>
    <w:multiLevelType w:val="hybridMultilevel"/>
    <w:tmpl w:val="F6E8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66012"/>
    <w:multiLevelType w:val="multilevel"/>
    <w:tmpl w:val="E174A214"/>
    <w:styleLink w:val="ListBullets"/>
    <w:lvl w:ilvl="0">
      <w:start w:val="1"/>
      <w:numFmt w:val="bullet"/>
      <w:lvlText w:val=""/>
      <w:lvlJc w:val="left"/>
      <w:pPr>
        <w:ind w:left="648" w:hanging="360"/>
      </w:pPr>
      <w:rPr>
        <w:rFonts w:ascii="Symbol" w:hAnsi="Symbol" w:hint="default"/>
        <w:color w:val="48484A" w:themeColor="text1"/>
      </w:rPr>
    </w:lvl>
    <w:lvl w:ilvl="1">
      <w:start w:val="1"/>
      <w:numFmt w:val="bullet"/>
      <w:lvlText w:val="−"/>
      <w:lvlJc w:val="left"/>
      <w:pPr>
        <w:ind w:left="1224" w:hanging="432"/>
      </w:pPr>
      <w:rPr>
        <w:rFonts w:ascii="Garamond" w:hAnsi="Garamond" w:hint="default"/>
        <w:color w:val="48484A" w:themeColor="text1"/>
      </w:rPr>
    </w:lvl>
    <w:lvl w:ilvl="2">
      <w:start w:val="1"/>
      <w:numFmt w:val="bullet"/>
      <w:lvlText w:val="○"/>
      <w:lvlJc w:val="left"/>
      <w:pPr>
        <w:tabs>
          <w:tab w:val="num" w:pos="1800"/>
        </w:tabs>
        <w:ind w:left="1728" w:hanging="360"/>
      </w:pPr>
      <w:rPr>
        <w:rFonts w:ascii="Garamond" w:hAnsi="Garamond" w:hint="default"/>
        <w:color w:val="48484A" w:themeColor="tex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0AFB6FAB"/>
    <w:multiLevelType w:val="multilevel"/>
    <w:tmpl w:val="7FCA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003CD1"/>
    <w:multiLevelType w:val="multilevel"/>
    <w:tmpl w:val="B0FC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51569B"/>
    <w:multiLevelType w:val="multilevel"/>
    <w:tmpl w:val="86E4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15580"/>
    <w:multiLevelType w:val="multilevel"/>
    <w:tmpl w:val="98B6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EC471B"/>
    <w:multiLevelType w:val="multilevel"/>
    <w:tmpl w:val="A6A0C7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C0155"/>
    <w:multiLevelType w:val="hybridMultilevel"/>
    <w:tmpl w:val="801E7D7E"/>
    <w:lvl w:ilvl="0" w:tplc="A5AE8E8E">
      <w:start w:val="1"/>
      <w:numFmt w:val="bullet"/>
      <w:lvlText w:val=""/>
      <w:lvlJc w:val="left"/>
      <w:pPr>
        <w:ind w:left="720" w:hanging="360"/>
      </w:pPr>
      <w:rPr>
        <w:rFonts w:ascii="Symbol" w:hAnsi="Symbol" w:hint="default"/>
        <w:color w:val="26262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97193"/>
    <w:multiLevelType w:val="multilevel"/>
    <w:tmpl w:val="D926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3D002F"/>
    <w:multiLevelType w:val="multilevel"/>
    <w:tmpl w:val="7396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C86F30"/>
    <w:multiLevelType w:val="multilevel"/>
    <w:tmpl w:val="08A4DFD2"/>
    <w:lvl w:ilvl="0">
      <w:start w:val="1"/>
      <w:numFmt w:val="bullet"/>
      <w:pStyle w:val="ListParagraph"/>
      <w:lvlText w:val=""/>
      <w:lvlJc w:val="left"/>
      <w:pPr>
        <w:ind w:left="648" w:hanging="360"/>
      </w:pPr>
      <w:rPr>
        <w:rFonts w:ascii="Symbol" w:hAnsi="Symbol" w:hint="default"/>
        <w:color w:val="262626" w:themeColor="text2"/>
      </w:rPr>
    </w:lvl>
    <w:lvl w:ilvl="1">
      <w:start w:val="1"/>
      <w:numFmt w:val="bullet"/>
      <w:pStyle w:val="ListBullet2"/>
      <w:lvlText w:val="−"/>
      <w:lvlJc w:val="left"/>
      <w:pPr>
        <w:ind w:left="1224" w:hanging="432"/>
      </w:pPr>
      <w:rPr>
        <w:rFonts w:ascii="Garamond" w:hAnsi="Garamond" w:hint="default"/>
        <w:color w:val="262626" w:themeColor="text2"/>
      </w:rPr>
    </w:lvl>
    <w:lvl w:ilvl="2">
      <w:start w:val="1"/>
      <w:numFmt w:val="bullet"/>
      <w:pStyle w:val="ListBullet3"/>
      <w:lvlText w:val="○"/>
      <w:lvlJc w:val="left"/>
      <w:pPr>
        <w:tabs>
          <w:tab w:val="num" w:pos="1800"/>
        </w:tabs>
        <w:ind w:left="1728" w:hanging="360"/>
      </w:pPr>
      <w:rPr>
        <w:rFonts w:ascii="Garamond" w:hAnsi="Garamond" w:hint="default"/>
        <w:color w:val="262626" w:themeColor="text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EF32143"/>
    <w:multiLevelType w:val="multilevel"/>
    <w:tmpl w:val="87E86752"/>
    <w:lvl w:ilvl="0">
      <w:start w:val="1"/>
      <w:numFmt w:val="decimal"/>
      <w:pStyle w:val="Tasks"/>
      <w:suff w:val="space"/>
      <w:lvlText w:val="Task %1:"/>
      <w:lvlJc w:val="left"/>
      <w:pPr>
        <w:ind w:left="360" w:hanging="360"/>
      </w:pPr>
      <w:rPr>
        <w:rFonts w:ascii="Arial Bold" w:hAnsi="Arial Bold" w:hint="default"/>
        <w:b/>
        <w:i w:val="0"/>
        <w:caps/>
        <w:color w:val="F68B1F"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6C83C25"/>
    <w:multiLevelType w:val="multilevel"/>
    <w:tmpl w:val="2344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F255A8"/>
    <w:multiLevelType w:val="multilevel"/>
    <w:tmpl w:val="CCB61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F68B1F"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505149E"/>
    <w:multiLevelType w:val="hybridMultilevel"/>
    <w:tmpl w:val="927E5FF0"/>
    <w:lvl w:ilvl="0" w:tplc="083C64FA">
      <w:start w:val="1"/>
      <w:numFmt w:val="bullet"/>
      <w:lvlText w:val=""/>
      <w:lvlJc w:val="left"/>
      <w:pPr>
        <w:ind w:left="1440" w:hanging="360"/>
      </w:pPr>
      <w:rPr>
        <w:rFonts w:ascii="Symbol" w:hAnsi="Symbol" w:hint="default"/>
      </w:rPr>
    </w:lvl>
    <w:lvl w:ilvl="1" w:tplc="5C2ED196">
      <w:start w:val="1"/>
      <w:numFmt w:val="bullet"/>
      <w:lvlText w:val="o"/>
      <w:lvlJc w:val="left"/>
      <w:pPr>
        <w:ind w:left="2160" w:hanging="360"/>
      </w:pPr>
      <w:rPr>
        <w:rFonts w:ascii="Courier New" w:hAnsi="Courier New" w:hint="default"/>
      </w:rPr>
    </w:lvl>
    <w:lvl w:ilvl="2" w:tplc="F066188E">
      <w:start w:val="1"/>
      <w:numFmt w:val="bullet"/>
      <w:lvlText w:val=""/>
      <w:lvlJc w:val="left"/>
      <w:pPr>
        <w:ind w:left="2880" w:hanging="360"/>
      </w:pPr>
      <w:rPr>
        <w:rFonts w:ascii="Wingdings" w:hAnsi="Wingdings" w:hint="default"/>
      </w:rPr>
    </w:lvl>
    <w:lvl w:ilvl="3" w:tplc="68E47084">
      <w:start w:val="1"/>
      <w:numFmt w:val="bullet"/>
      <w:lvlText w:val=""/>
      <w:lvlJc w:val="left"/>
      <w:pPr>
        <w:ind w:left="3600" w:hanging="360"/>
      </w:pPr>
      <w:rPr>
        <w:rFonts w:ascii="Symbol" w:hAnsi="Symbol" w:hint="default"/>
      </w:rPr>
    </w:lvl>
    <w:lvl w:ilvl="4" w:tplc="EDA8F01E">
      <w:start w:val="1"/>
      <w:numFmt w:val="bullet"/>
      <w:lvlText w:val="o"/>
      <w:lvlJc w:val="left"/>
      <w:pPr>
        <w:ind w:left="4320" w:hanging="360"/>
      </w:pPr>
      <w:rPr>
        <w:rFonts w:ascii="Courier New" w:hAnsi="Courier New" w:hint="default"/>
      </w:rPr>
    </w:lvl>
    <w:lvl w:ilvl="5" w:tplc="5262CE70">
      <w:start w:val="1"/>
      <w:numFmt w:val="bullet"/>
      <w:lvlText w:val=""/>
      <w:lvlJc w:val="left"/>
      <w:pPr>
        <w:ind w:left="5040" w:hanging="360"/>
      </w:pPr>
      <w:rPr>
        <w:rFonts w:ascii="Wingdings" w:hAnsi="Wingdings" w:hint="default"/>
      </w:rPr>
    </w:lvl>
    <w:lvl w:ilvl="6" w:tplc="5BE83056">
      <w:start w:val="1"/>
      <w:numFmt w:val="bullet"/>
      <w:lvlText w:val=""/>
      <w:lvlJc w:val="left"/>
      <w:pPr>
        <w:ind w:left="5760" w:hanging="360"/>
      </w:pPr>
      <w:rPr>
        <w:rFonts w:ascii="Symbol" w:hAnsi="Symbol" w:hint="default"/>
      </w:rPr>
    </w:lvl>
    <w:lvl w:ilvl="7" w:tplc="9E408630">
      <w:start w:val="1"/>
      <w:numFmt w:val="bullet"/>
      <w:lvlText w:val="o"/>
      <w:lvlJc w:val="left"/>
      <w:pPr>
        <w:ind w:left="6480" w:hanging="360"/>
      </w:pPr>
      <w:rPr>
        <w:rFonts w:ascii="Courier New" w:hAnsi="Courier New" w:hint="default"/>
      </w:rPr>
    </w:lvl>
    <w:lvl w:ilvl="8" w:tplc="7DF0E5C2">
      <w:start w:val="1"/>
      <w:numFmt w:val="bullet"/>
      <w:lvlText w:val=""/>
      <w:lvlJc w:val="left"/>
      <w:pPr>
        <w:ind w:left="7200" w:hanging="360"/>
      </w:pPr>
      <w:rPr>
        <w:rFonts w:ascii="Wingdings" w:hAnsi="Wingdings" w:hint="default"/>
      </w:rPr>
    </w:lvl>
  </w:abstractNum>
  <w:abstractNum w:abstractNumId="17" w15:restartNumberingAfterBreak="0">
    <w:nsid w:val="57064498"/>
    <w:multiLevelType w:val="multilevel"/>
    <w:tmpl w:val="3FE8F200"/>
    <w:lvl w:ilvl="0">
      <w:start w:val="1"/>
      <w:numFmt w:val="decimal"/>
      <w:pStyle w:val="Heading1"/>
      <w:suff w:val="space"/>
      <w:lvlText w:val="%1.0"/>
      <w:lvlJc w:val="left"/>
      <w:pPr>
        <w:ind w:left="360" w:hanging="360"/>
      </w:pPr>
      <w:rPr>
        <w:rFonts w:ascii="Arial" w:hAnsi="Arial" w:hint="default"/>
        <w:b/>
        <w:i w:val="0"/>
        <w:color w:val="F68B1F" w:themeColor="background2"/>
      </w:rPr>
    </w:lvl>
    <w:lvl w:ilvl="1">
      <w:start w:val="1"/>
      <w:numFmt w:val="decimal"/>
      <w:pStyle w:val="Heading2"/>
      <w:suff w:val="space"/>
      <w:lvlText w:val="%1.%2"/>
      <w:lvlJc w:val="left"/>
      <w:pPr>
        <w:ind w:left="720" w:hanging="360"/>
      </w:pPr>
      <w:rPr>
        <w:rFonts w:ascii="Arial" w:hAnsi="Arial" w:hint="default"/>
        <w:b/>
        <w:i w:val="0"/>
        <w:color w:val="F68B1F" w:themeColor="background2"/>
      </w:rPr>
    </w:lvl>
    <w:lvl w:ilvl="2">
      <w:start w:val="1"/>
      <w:numFmt w:val="none"/>
      <w:pStyle w:val="Heading3"/>
      <w:suff w:val="nothing"/>
      <w:lvlText w:val=""/>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AD26F6F"/>
    <w:multiLevelType w:val="multilevel"/>
    <w:tmpl w:val="E174A214"/>
    <w:numStyleLink w:val="ListBullets"/>
  </w:abstractNum>
  <w:abstractNum w:abstractNumId="19" w15:restartNumberingAfterBreak="0">
    <w:nsid w:val="66620EBB"/>
    <w:multiLevelType w:val="hybridMultilevel"/>
    <w:tmpl w:val="B394DAC0"/>
    <w:lvl w:ilvl="0" w:tplc="B10A69F6">
      <w:start w:val="1"/>
      <w:numFmt w:val="bullet"/>
      <w:pStyle w:val="TableList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6EC3744"/>
    <w:multiLevelType w:val="multilevel"/>
    <w:tmpl w:val="BE289F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3C1535"/>
    <w:multiLevelType w:val="multilevel"/>
    <w:tmpl w:val="0B5E8CB6"/>
    <w:lvl w:ilvl="0">
      <w:start w:val="1"/>
      <w:numFmt w:val="decimal"/>
      <w:pStyle w:val="Items"/>
      <w:suff w:val="space"/>
      <w:lvlText w:val="Item %1:"/>
      <w:lvlJc w:val="left"/>
      <w:pPr>
        <w:ind w:left="360" w:hanging="360"/>
      </w:pPr>
      <w:rPr>
        <w:rFonts w:ascii="Arial Bold" w:hAnsi="Arial Bold" w:hint="default"/>
        <w:b/>
        <w:i w:val="0"/>
        <w:caps/>
        <w:color w:val="F68B1F"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E337A59"/>
    <w:multiLevelType w:val="multilevel"/>
    <w:tmpl w:val="003EB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434CE9"/>
    <w:multiLevelType w:val="multilevel"/>
    <w:tmpl w:val="9144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9E456F"/>
    <w:multiLevelType w:val="hybridMultilevel"/>
    <w:tmpl w:val="D7C65AD0"/>
    <w:lvl w:ilvl="0" w:tplc="8FF8A27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47140A"/>
    <w:multiLevelType w:val="hybridMultilevel"/>
    <w:tmpl w:val="14463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1787533">
    <w:abstractNumId w:val="2"/>
  </w:num>
  <w:num w:numId="2" w16cid:durableId="96562883">
    <w:abstractNumId w:val="17"/>
  </w:num>
  <w:num w:numId="3" w16cid:durableId="654338385">
    <w:abstractNumId w:val="15"/>
  </w:num>
  <w:num w:numId="4" w16cid:durableId="8876059">
    <w:abstractNumId w:val="12"/>
  </w:num>
  <w:num w:numId="5" w16cid:durableId="1107693391">
    <w:abstractNumId w:val="21"/>
  </w:num>
  <w:num w:numId="6" w16cid:durableId="285553373">
    <w:abstractNumId w:val="19"/>
  </w:num>
  <w:num w:numId="7" w16cid:durableId="1689984025">
    <w:abstractNumId w:val="18"/>
  </w:num>
  <w:num w:numId="8" w16cid:durableId="687606159">
    <w:abstractNumId w:val="11"/>
  </w:num>
  <w:num w:numId="9" w16cid:durableId="1014528845">
    <w:abstractNumId w:val="8"/>
  </w:num>
  <w:num w:numId="10" w16cid:durableId="1229219871">
    <w:abstractNumId w:val="1"/>
  </w:num>
  <w:num w:numId="11" w16cid:durableId="138614509">
    <w:abstractNumId w:val="17"/>
  </w:num>
  <w:num w:numId="12" w16cid:durableId="2102414243">
    <w:abstractNumId w:val="17"/>
  </w:num>
  <w:num w:numId="13" w16cid:durableId="1188176292">
    <w:abstractNumId w:val="17"/>
  </w:num>
  <w:num w:numId="14" w16cid:durableId="1849908171">
    <w:abstractNumId w:val="15"/>
  </w:num>
  <w:num w:numId="15" w16cid:durableId="82725943">
    <w:abstractNumId w:val="12"/>
  </w:num>
  <w:num w:numId="16" w16cid:durableId="624698849">
    <w:abstractNumId w:val="21"/>
  </w:num>
  <w:num w:numId="17" w16cid:durableId="1706323830">
    <w:abstractNumId w:val="11"/>
  </w:num>
  <w:num w:numId="18" w16cid:durableId="1743992049">
    <w:abstractNumId w:val="11"/>
  </w:num>
  <w:num w:numId="19" w16cid:durableId="1001617198">
    <w:abstractNumId w:val="11"/>
  </w:num>
  <w:num w:numId="20" w16cid:durableId="430396715">
    <w:abstractNumId w:val="11"/>
  </w:num>
  <w:num w:numId="21" w16cid:durableId="1800026678">
    <w:abstractNumId w:val="2"/>
  </w:num>
  <w:num w:numId="22" w16cid:durableId="1260406268">
    <w:abstractNumId w:val="19"/>
  </w:num>
  <w:num w:numId="23" w16cid:durableId="734857731">
    <w:abstractNumId w:val="10"/>
  </w:num>
  <w:num w:numId="24" w16cid:durableId="1878276096">
    <w:abstractNumId w:val="14"/>
  </w:num>
  <w:num w:numId="25" w16cid:durableId="1107501480">
    <w:abstractNumId w:val="7"/>
  </w:num>
  <w:num w:numId="26" w16cid:durableId="1070151323">
    <w:abstractNumId w:val="20"/>
  </w:num>
  <w:num w:numId="27" w16cid:durableId="2113628444">
    <w:abstractNumId w:val="6"/>
  </w:num>
  <w:num w:numId="28" w16cid:durableId="1289777339">
    <w:abstractNumId w:val="4"/>
  </w:num>
  <w:num w:numId="29" w16cid:durableId="1945072721">
    <w:abstractNumId w:val="3"/>
  </w:num>
  <w:num w:numId="30" w16cid:durableId="235437006">
    <w:abstractNumId w:val="5"/>
  </w:num>
  <w:num w:numId="31" w16cid:durableId="1777747137">
    <w:abstractNumId w:val="22"/>
  </w:num>
  <w:num w:numId="32" w16cid:durableId="1692298614">
    <w:abstractNumId w:val="23"/>
  </w:num>
  <w:num w:numId="33" w16cid:durableId="822355631">
    <w:abstractNumId w:val="24"/>
  </w:num>
  <w:num w:numId="34" w16cid:durableId="803501492">
    <w:abstractNumId w:val="0"/>
  </w:num>
  <w:num w:numId="35" w16cid:durableId="52507582">
    <w:abstractNumId w:val="13"/>
  </w:num>
  <w:num w:numId="36" w16cid:durableId="1944535191">
    <w:abstractNumId w:val="9"/>
  </w:num>
  <w:num w:numId="37" w16cid:durableId="854003097">
    <w:abstractNumId w:val="16"/>
  </w:num>
  <w:num w:numId="38" w16cid:durableId="688291316">
    <w:abstractNumId w:val="17"/>
  </w:num>
  <w:num w:numId="39" w16cid:durableId="92723485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8A9"/>
    <w:rsid w:val="00000732"/>
    <w:rsid w:val="00001390"/>
    <w:rsid w:val="00005332"/>
    <w:rsid w:val="0000737C"/>
    <w:rsid w:val="00012C43"/>
    <w:rsid w:val="0001580B"/>
    <w:rsid w:val="00016287"/>
    <w:rsid w:val="00021E64"/>
    <w:rsid w:val="00026CD6"/>
    <w:rsid w:val="00026FEE"/>
    <w:rsid w:val="00030AAC"/>
    <w:rsid w:val="0003437A"/>
    <w:rsid w:val="000354A9"/>
    <w:rsid w:val="00042CD8"/>
    <w:rsid w:val="00042DDF"/>
    <w:rsid w:val="00043801"/>
    <w:rsid w:val="00043A6C"/>
    <w:rsid w:val="00044406"/>
    <w:rsid w:val="00045874"/>
    <w:rsid w:val="00054FFA"/>
    <w:rsid w:val="00056C38"/>
    <w:rsid w:val="0006039E"/>
    <w:rsid w:val="00065ED7"/>
    <w:rsid w:val="00065FE9"/>
    <w:rsid w:val="000667AA"/>
    <w:rsid w:val="00067AA2"/>
    <w:rsid w:val="000706F6"/>
    <w:rsid w:val="00072F78"/>
    <w:rsid w:val="00073998"/>
    <w:rsid w:val="00074652"/>
    <w:rsid w:val="000900B5"/>
    <w:rsid w:val="00090C77"/>
    <w:rsid w:val="00093557"/>
    <w:rsid w:val="000948D2"/>
    <w:rsid w:val="00094A3B"/>
    <w:rsid w:val="000A6ECC"/>
    <w:rsid w:val="000B0A5D"/>
    <w:rsid w:val="000B0D92"/>
    <w:rsid w:val="000B37B3"/>
    <w:rsid w:val="000B3A42"/>
    <w:rsid w:val="000B5EFC"/>
    <w:rsid w:val="000B6299"/>
    <w:rsid w:val="000B678D"/>
    <w:rsid w:val="000B68B1"/>
    <w:rsid w:val="000B743D"/>
    <w:rsid w:val="000C11C5"/>
    <w:rsid w:val="000C7114"/>
    <w:rsid w:val="000C786D"/>
    <w:rsid w:val="000D187E"/>
    <w:rsid w:val="000E7F1E"/>
    <w:rsid w:val="000F31AA"/>
    <w:rsid w:val="000F729F"/>
    <w:rsid w:val="000F7680"/>
    <w:rsid w:val="001013A5"/>
    <w:rsid w:val="001017AC"/>
    <w:rsid w:val="00103CEB"/>
    <w:rsid w:val="00105194"/>
    <w:rsid w:val="0011039E"/>
    <w:rsid w:val="00114D01"/>
    <w:rsid w:val="00120A45"/>
    <w:rsid w:val="001237D9"/>
    <w:rsid w:val="001251F2"/>
    <w:rsid w:val="00134E02"/>
    <w:rsid w:val="001352D4"/>
    <w:rsid w:val="001365F4"/>
    <w:rsid w:val="00140497"/>
    <w:rsid w:val="00140E0A"/>
    <w:rsid w:val="00144086"/>
    <w:rsid w:val="0014791B"/>
    <w:rsid w:val="0014798A"/>
    <w:rsid w:val="00152760"/>
    <w:rsid w:val="00152FD3"/>
    <w:rsid w:val="001545FE"/>
    <w:rsid w:val="00154C80"/>
    <w:rsid w:val="00165CC8"/>
    <w:rsid w:val="001663E7"/>
    <w:rsid w:val="001738C2"/>
    <w:rsid w:val="001804DE"/>
    <w:rsid w:val="00180CA5"/>
    <w:rsid w:val="00182163"/>
    <w:rsid w:val="00184596"/>
    <w:rsid w:val="0018558E"/>
    <w:rsid w:val="00186B66"/>
    <w:rsid w:val="00187738"/>
    <w:rsid w:val="00190383"/>
    <w:rsid w:val="001938B6"/>
    <w:rsid w:val="00194632"/>
    <w:rsid w:val="00194B24"/>
    <w:rsid w:val="0019707A"/>
    <w:rsid w:val="001975D3"/>
    <w:rsid w:val="001B15E7"/>
    <w:rsid w:val="001C3B72"/>
    <w:rsid w:val="001C74E8"/>
    <w:rsid w:val="001D071D"/>
    <w:rsid w:val="001D0730"/>
    <w:rsid w:val="001D0D7E"/>
    <w:rsid w:val="001D1346"/>
    <w:rsid w:val="001D17DE"/>
    <w:rsid w:val="001D21B4"/>
    <w:rsid w:val="001D6A3E"/>
    <w:rsid w:val="001E3748"/>
    <w:rsid w:val="001E77FF"/>
    <w:rsid w:val="001F5AB8"/>
    <w:rsid w:val="001F60FE"/>
    <w:rsid w:val="001F61BC"/>
    <w:rsid w:val="001F630F"/>
    <w:rsid w:val="001F6404"/>
    <w:rsid w:val="001F6527"/>
    <w:rsid w:val="001F6E85"/>
    <w:rsid w:val="002031FC"/>
    <w:rsid w:val="00203254"/>
    <w:rsid w:val="002111C4"/>
    <w:rsid w:val="0021296D"/>
    <w:rsid w:val="00212C32"/>
    <w:rsid w:val="002136C9"/>
    <w:rsid w:val="002137DC"/>
    <w:rsid w:val="00217DDF"/>
    <w:rsid w:val="002207B5"/>
    <w:rsid w:val="00224D7D"/>
    <w:rsid w:val="00225F98"/>
    <w:rsid w:val="00226B41"/>
    <w:rsid w:val="00226D94"/>
    <w:rsid w:val="00230D80"/>
    <w:rsid w:val="0023667F"/>
    <w:rsid w:val="00237D40"/>
    <w:rsid w:val="0024124A"/>
    <w:rsid w:val="00241FB4"/>
    <w:rsid w:val="002421F0"/>
    <w:rsid w:val="002465A5"/>
    <w:rsid w:val="00246C6F"/>
    <w:rsid w:val="00247A7B"/>
    <w:rsid w:val="00252334"/>
    <w:rsid w:val="0025238C"/>
    <w:rsid w:val="00254CC4"/>
    <w:rsid w:val="00255104"/>
    <w:rsid w:val="002562BD"/>
    <w:rsid w:val="00257A15"/>
    <w:rsid w:val="002607E9"/>
    <w:rsid w:val="00272ABE"/>
    <w:rsid w:val="00273B8F"/>
    <w:rsid w:val="00274C74"/>
    <w:rsid w:val="0027534C"/>
    <w:rsid w:val="00283297"/>
    <w:rsid w:val="00284F65"/>
    <w:rsid w:val="002853FC"/>
    <w:rsid w:val="002911E4"/>
    <w:rsid w:val="002924C2"/>
    <w:rsid w:val="00294A65"/>
    <w:rsid w:val="00296ECE"/>
    <w:rsid w:val="002A2345"/>
    <w:rsid w:val="002A33F3"/>
    <w:rsid w:val="002A62B3"/>
    <w:rsid w:val="002B365B"/>
    <w:rsid w:val="002B4CF7"/>
    <w:rsid w:val="002B4F28"/>
    <w:rsid w:val="002B5057"/>
    <w:rsid w:val="002C13A4"/>
    <w:rsid w:val="002C23A0"/>
    <w:rsid w:val="002D00BA"/>
    <w:rsid w:val="002D10C5"/>
    <w:rsid w:val="002D34AB"/>
    <w:rsid w:val="002D3827"/>
    <w:rsid w:val="002D4088"/>
    <w:rsid w:val="002D68EF"/>
    <w:rsid w:val="002E32BD"/>
    <w:rsid w:val="002E558A"/>
    <w:rsid w:val="002F018F"/>
    <w:rsid w:val="002F29A5"/>
    <w:rsid w:val="00301366"/>
    <w:rsid w:val="00302810"/>
    <w:rsid w:val="003028D2"/>
    <w:rsid w:val="003069A6"/>
    <w:rsid w:val="003076AC"/>
    <w:rsid w:val="0030773D"/>
    <w:rsid w:val="00307DD1"/>
    <w:rsid w:val="00310112"/>
    <w:rsid w:val="00312C31"/>
    <w:rsid w:val="0031316F"/>
    <w:rsid w:val="003136B3"/>
    <w:rsid w:val="003226B5"/>
    <w:rsid w:val="00323C6B"/>
    <w:rsid w:val="00323FA3"/>
    <w:rsid w:val="00324AC3"/>
    <w:rsid w:val="00324FFE"/>
    <w:rsid w:val="003252C8"/>
    <w:rsid w:val="00331A2A"/>
    <w:rsid w:val="00335DD9"/>
    <w:rsid w:val="00343484"/>
    <w:rsid w:val="00345A67"/>
    <w:rsid w:val="00351021"/>
    <w:rsid w:val="00351D61"/>
    <w:rsid w:val="00352B4E"/>
    <w:rsid w:val="00354E53"/>
    <w:rsid w:val="00357C2B"/>
    <w:rsid w:val="00362727"/>
    <w:rsid w:val="00364321"/>
    <w:rsid w:val="00365503"/>
    <w:rsid w:val="003736A8"/>
    <w:rsid w:val="00374D8D"/>
    <w:rsid w:val="00375246"/>
    <w:rsid w:val="0037662A"/>
    <w:rsid w:val="0038152D"/>
    <w:rsid w:val="00382394"/>
    <w:rsid w:val="003833BE"/>
    <w:rsid w:val="003837F5"/>
    <w:rsid w:val="00386E4E"/>
    <w:rsid w:val="00387E1A"/>
    <w:rsid w:val="00391DDE"/>
    <w:rsid w:val="00395971"/>
    <w:rsid w:val="003A0FBC"/>
    <w:rsid w:val="003A3ED9"/>
    <w:rsid w:val="003A50E8"/>
    <w:rsid w:val="003A56A5"/>
    <w:rsid w:val="003A6532"/>
    <w:rsid w:val="003A686E"/>
    <w:rsid w:val="003B2C32"/>
    <w:rsid w:val="003B5AA0"/>
    <w:rsid w:val="003B7775"/>
    <w:rsid w:val="003C0C82"/>
    <w:rsid w:val="003C505F"/>
    <w:rsid w:val="003C6DE7"/>
    <w:rsid w:val="003D08E6"/>
    <w:rsid w:val="003D1091"/>
    <w:rsid w:val="003E0822"/>
    <w:rsid w:val="003E1124"/>
    <w:rsid w:val="003E304C"/>
    <w:rsid w:val="003E526A"/>
    <w:rsid w:val="003E6618"/>
    <w:rsid w:val="003F2CA4"/>
    <w:rsid w:val="003F3645"/>
    <w:rsid w:val="003F608F"/>
    <w:rsid w:val="003F6563"/>
    <w:rsid w:val="00400BB9"/>
    <w:rsid w:val="00401F48"/>
    <w:rsid w:val="00403023"/>
    <w:rsid w:val="00405392"/>
    <w:rsid w:val="00411371"/>
    <w:rsid w:val="00413CC3"/>
    <w:rsid w:val="00415390"/>
    <w:rsid w:val="00415824"/>
    <w:rsid w:val="004177CC"/>
    <w:rsid w:val="00420165"/>
    <w:rsid w:val="004201C2"/>
    <w:rsid w:val="0042471D"/>
    <w:rsid w:val="00424DE0"/>
    <w:rsid w:val="00425B3A"/>
    <w:rsid w:val="00431929"/>
    <w:rsid w:val="00442D23"/>
    <w:rsid w:val="004452DB"/>
    <w:rsid w:val="004519A3"/>
    <w:rsid w:val="00451D75"/>
    <w:rsid w:val="0045236C"/>
    <w:rsid w:val="004554F7"/>
    <w:rsid w:val="00455E61"/>
    <w:rsid w:val="004618A1"/>
    <w:rsid w:val="0046199D"/>
    <w:rsid w:val="00464FA4"/>
    <w:rsid w:val="0046506D"/>
    <w:rsid w:val="00465527"/>
    <w:rsid w:val="004729C7"/>
    <w:rsid w:val="00480E0E"/>
    <w:rsid w:val="00481135"/>
    <w:rsid w:val="0048176D"/>
    <w:rsid w:val="0048262A"/>
    <w:rsid w:val="004828BE"/>
    <w:rsid w:val="004831C7"/>
    <w:rsid w:val="00483EC4"/>
    <w:rsid w:val="004844E9"/>
    <w:rsid w:val="00484ED6"/>
    <w:rsid w:val="00490B20"/>
    <w:rsid w:val="004911FE"/>
    <w:rsid w:val="00494270"/>
    <w:rsid w:val="004943BC"/>
    <w:rsid w:val="00494AD1"/>
    <w:rsid w:val="004A44D8"/>
    <w:rsid w:val="004A557A"/>
    <w:rsid w:val="004A696A"/>
    <w:rsid w:val="004A6FB9"/>
    <w:rsid w:val="004A71A3"/>
    <w:rsid w:val="004B2FDE"/>
    <w:rsid w:val="004B47B6"/>
    <w:rsid w:val="004B5458"/>
    <w:rsid w:val="004B6CFA"/>
    <w:rsid w:val="004B6F9F"/>
    <w:rsid w:val="004B756C"/>
    <w:rsid w:val="004C01DF"/>
    <w:rsid w:val="004C2D9F"/>
    <w:rsid w:val="004C58F9"/>
    <w:rsid w:val="004D4970"/>
    <w:rsid w:val="004D6363"/>
    <w:rsid w:val="004D64D4"/>
    <w:rsid w:val="004D6DC5"/>
    <w:rsid w:val="004E206F"/>
    <w:rsid w:val="004E51AF"/>
    <w:rsid w:val="004F12FB"/>
    <w:rsid w:val="004F52BC"/>
    <w:rsid w:val="004F73FC"/>
    <w:rsid w:val="004F7C74"/>
    <w:rsid w:val="00503EA5"/>
    <w:rsid w:val="005045F2"/>
    <w:rsid w:val="0050791C"/>
    <w:rsid w:val="00507B6E"/>
    <w:rsid w:val="005108CB"/>
    <w:rsid w:val="00512776"/>
    <w:rsid w:val="00520767"/>
    <w:rsid w:val="00523CBD"/>
    <w:rsid w:val="00525180"/>
    <w:rsid w:val="00526846"/>
    <w:rsid w:val="00530B6A"/>
    <w:rsid w:val="00531AB9"/>
    <w:rsid w:val="0054058A"/>
    <w:rsid w:val="0054102C"/>
    <w:rsid w:val="00542CA7"/>
    <w:rsid w:val="00543A45"/>
    <w:rsid w:val="0054646D"/>
    <w:rsid w:val="00546D58"/>
    <w:rsid w:val="00546D7E"/>
    <w:rsid w:val="0055073F"/>
    <w:rsid w:val="00550CFC"/>
    <w:rsid w:val="00550D5D"/>
    <w:rsid w:val="00552A9B"/>
    <w:rsid w:val="00554836"/>
    <w:rsid w:val="00556444"/>
    <w:rsid w:val="00556CE9"/>
    <w:rsid w:val="00563531"/>
    <w:rsid w:val="00564462"/>
    <w:rsid w:val="0056630F"/>
    <w:rsid w:val="005711F3"/>
    <w:rsid w:val="00571680"/>
    <w:rsid w:val="00572373"/>
    <w:rsid w:val="00573E0A"/>
    <w:rsid w:val="00574977"/>
    <w:rsid w:val="00577E25"/>
    <w:rsid w:val="005814F4"/>
    <w:rsid w:val="00585414"/>
    <w:rsid w:val="00585A04"/>
    <w:rsid w:val="00585AB7"/>
    <w:rsid w:val="005869A3"/>
    <w:rsid w:val="005905B5"/>
    <w:rsid w:val="005962F9"/>
    <w:rsid w:val="00597BE8"/>
    <w:rsid w:val="005A066D"/>
    <w:rsid w:val="005A1366"/>
    <w:rsid w:val="005A146E"/>
    <w:rsid w:val="005A279B"/>
    <w:rsid w:val="005A3AC6"/>
    <w:rsid w:val="005B2D09"/>
    <w:rsid w:val="005B4A62"/>
    <w:rsid w:val="005B5C20"/>
    <w:rsid w:val="005B7679"/>
    <w:rsid w:val="005C013B"/>
    <w:rsid w:val="005C6B76"/>
    <w:rsid w:val="005D09A4"/>
    <w:rsid w:val="005D1EDE"/>
    <w:rsid w:val="005D240F"/>
    <w:rsid w:val="005D2529"/>
    <w:rsid w:val="005D31BF"/>
    <w:rsid w:val="005D3513"/>
    <w:rsid w:val="005D68B0"/>
    <w:rsid w:val="005D6CC0"/>
    <w:rsid w:val="005D7706"/>
    <w:rsid w:val="005E5ADF"/>
    <w:rsid w:val="005E788E"/>
    <w:rsid w:val="005F2CF7"/>
    <w:rsid w:val="005F42B9"/>
    <w:rsid w:val="006005EB"/>
    <w:rsid w:val="00603E9E"/>
    <w:rsid w:val="00603F1C"/>
    <w:rsid w:val="00605EF9"/>
    <w:rsid w:val="00606B4D"/>
    <w:rsid w:val="00606E53"/>
    <w:rsid w:val="006107AA"/>
    <w:rsid w:val="006108D5"/>
    <w:rsid w:val="006115BA"/>
    <w:rsid w:val="00611CFE"/>
    <w:rsid w:val="00612E37"/>
    <w:rsid w:val="0061590D"/>
    <w:rsid w:val="00616CBF"/>
    <w:rsid w:val="00616FFD"/>
    <w:rsid w:val="0062324A"/>
    <w:rsid w:val="006253E8"/>
    <w:rsid w:val="00630FB4"/>
    <w:rsid w:val="00635714"/>
    <w:rsid w:val="00636C62"/>
    <w:rsid w:val="00641623"/>
    <w:rsid w:val="006420A1"/>
    <w:rsid w:val="00646145"/>
    <w:rsid w:val="00654894"/>
    <w:rsid w:val="00657873"/>
    <w:rsid w:val="00662665"/>
    <w:rsid w:val="00663772"/>
    <w:rsid w:val="00664AEC"/>
    <w:rsid w:val="00666577"/>
    <w:rsid w:val="006675D0"/>
    <w:rsid w:val="00667AEE"/>
    <w:rsid w:val="006721E0"/>
    <w:rsid w:val="006731F4"/>
    <w:rsid w:val="00675305"/>
    <w:rsid w:val="00675EAF"/>
    <w:rsid w:val="0067730F"/>
    <w:rsid w:val="0068262D"/>
    <w:rsid w:val="00685E78"/>
    <w:rsid w:val="00690AAE"/>
    <w:rsid w:val="006936FA"/>
    <w:rsid w:val="00693B68"/>
    <w:rsid w:val="00694F1F"/>
    <w:rsid w:val="006952FB"/>
    <w:rsid w:val="00697381"/>
    <w:rsid w:val="006A1499"/>
    <w:rsid w:val="006B0FD0"/>
    <w:rsid w:val="006B253E"/>
    <w:rsid w:val="006B314A"/>
    <w:rsid w:val="006B34CA"/>
    <w:rsid w:val="006B716A"/>
    <w:rsid w:val="006C365D"/>
    <w:rsid w:val="006C6553"/>
    <w:rsid w:val="006D06E1"/>
    <w:rsid w:val="006D1DB1"/>
    <w:rsid w:val="006D41EF"/>
    <w:rsid w:val="006D496F"/>
    <w:rsid w:val="006D6619"/>
    <w:rsid w:val="006D66F1"/>
    <w:rsid w:val="006F08BB"/>
    <w:rsid w:val="006F26CB"/>
    <w:rsid w:val="006F47D6"/>
    <w:rsid w:val="006F670D"/>
    <w:rsid w:val="006F6FED"/>
    <w:rsid w:val="00704E10"/>
    <w:rsid w:val="00707486"/>
    <w:rsid w:val="007108A0"/>
    <w:rsid w:val="00712DD5"/>
    <w:rsid w:val="00713E03"/>
    <w:rsid w:val="00717E55"/>
    <w:rsid w:val="007203BF"/>
    <w:rsid w:val="007204DC"/>
    <w:rsid w:val="00724477"/>
    <w:rsid w:val="0072553B"/>
    <w:rsid w:val="00725B1F"/>
    <w:rsid w:val="007313B1"/>
    <w:rsid w:val="00732C76"/>
    <w:rsid w:val="00733889"/>
    <w:rsid w:val="00740C82"/>
    <w:rsid w:val="007438F2"/>
    <w:rsid w:val="00747D96"/>
    <w:rsid w:val="00753DA7"/>
    <w:rsid w:val="00754699"/>
    <w:rsid w:val="0076124C"/>
    <w:rsid w:val="00762EAB"/>
    <w:rsid w:val="0076313C"/>
    <w:rsid w:val="00763979"/>
    <w:rsid w:val="007659A7"/>
    <w:rsid w:val="0077011E"/>
    <w:rsid w:val="00772FEC"/>
    <w:rsid w:val="0077336E"/>
    <w:rsid w:val="00776D65"/>
    <w:rsid w:val="0078045A"/>
    <w:rsid w:val="00781F1B"/>
    <w:rsid w:val="00787822"/>
    <w:rsid w:val="007912D7"/>
    <w:rsid w:val="00792B8E"/>
    <w:rsid w:val="00793B10"/>
    <w:rsid w:val="00793FA4"/>
    <w:rsid w:val="00794EFC"/>
    <w:rsid w:val="0079754B"/>
    <w:rsid w:val="007A3A63"/>
    <w:rsid w:val="007A721E"/>
    <w:rsid w:val="007B1515"/>
    <w:rsid w:val="007B4DA2"/>
    <w:rsid w:val="007B6516"/>
    <w:rsid w:val="007C015E"/>
    <w:rsid w:val="007C1B16"/>
    <w:rsid w:val="007C374B"/>
    <w:rsid w:val="007C5E1E"/>
    <w:rsid w:val="007C729D"/>
    <w:rsid w:val="007C7BFE"/>
    <w:rsid w:val="007D5F5B"/>
    <w:rsid w:val="007E524C"/>
    <w:rsid w:val="007E61D8"/>
    <w:rsid w:val="007E6835"/>
    <w:rsid w:val="007F3804"/>
    <w:rsid w:val="007F659B"/>
    <w:rsid w:val="007F6919"/>
    <w:rsid w:val="008004C9"/>
    <w:rsid w:val="00800557"/>
    <w:rsid w:val="00802966"/>
    <w:rsid w:val="008040F3"/>
    <w:rsid w:val="008128BA"/>
    <w:rsid w:val="00813457"/>
    <w:rsid w:val="00821FB2"/>
    <w:rsid w:val="00822EDA"/>
    <w:rsid w:val="00825232"/>
    <w:rsid w:val="00826CFA"/>
    <w:rsid w:val="0083466F"/>
    <w:rsid w:val="0083534B"/>
    <w:rsid w:val="008365F5"/>
    <w:rsid w:val="00836993"/>
    <w:rsid w:val="00836BBB"/>
    <w:rsid w:val="008565FD"/>
    <w:rsid w:val="00856935"/>
    <w:rsid w:val="008724AD"/>
    <w:rsid w:val="00875C20"/>
    <w:rsid w:val="00877801"/>
    <w:rsid w:val="00882541"/>
    <w:rsid w:val="00891BCD"/>
    <w:rsid w:val="0089321F"/>
    <w:rsid w:val="00893684"/>
    <w:rsid w:val="00895EDE"/>
    <w:rsid w:val="00897859"/>
    <w:rsid w:val="008A0C23"/>
    <w:rsid w:val="008A142B"/>
    <w:rsid w:val="008B0974"/>
    <w:rsid w:val="008B3CDA"/>
    <w:rsid w:val="008C086E"/>
    <w:rsid w:val="008C0B38"/>
    <w:rsid w:val="008C353F"/>
    <w:rsid w:val="008C701E"/>
    <w:rsid w:val="008C7390"/>
    <w:rsid w:val="008D20B4"/>
    <w:rsid w:val="008D6596"/>
    <w:rsid w:val="008E0A8F"/>
    <w:rsid w:val="008E3AF4"/>
    <w:rsid w:val="008E67DA"/>
    <w:rsid w:val="008F16E9"/>
    <w:rsid w:val="008F4611"/>
    <w:rsid w:val="008F628B"/>
    <w:rsid w:val="008F744E"/>
    <w:rsid w:val="00900189"/>
    <w:rsid w:val="00901BE3"/>
    <w:rsid w:val="00905C9B"/>
    <w:rsid w:val="0090742D"/>
    <w:rsid w:val="00910944"/>
    <w:rsid w:val="00915A89"/>
    <w:rsid w:val="00923525"/>
    <w:rsid w:val="00923875"/>
    <w:rsid w:val="00927676"/>
    <w:rsid w:val="00933E17"/>
    <w:rsid w:val="0093423B"/>
    <w:rsid w:val="0093439C"/>
    <w:rsid w:val="009354E8"/>
    <w:rsid w:val="00935874"/>
    <w:rsid w:val="009501E6"/>
    <w:rsid w:val="00953B83"/>
    <w:rsid w:val="009542D9"/>
    <w:rsid w:val="0095585C"/>
    <w:rsid w:val="00956D10"/>
    <w:rsid w:val="00960C76"/>
    <w:rsid w:val="00961572"/>
    <w:rsid w:val="0096383F"/>
    <w:rsid w:val="00964517"/>
    <w:rsid w:val="00964B9F"/>
    <w:rsid w:val="00964FD0"/>
    <w:rsid w:val="00965A88"/>
    <w:rsid w:val="00967D35"/>
    <w:rsid w:val="00967E1D"/>
    <w:rsid w:val="0097173C"/>
    <w:rsid w:val="009721FB"/>
    <w:rsid w:val="00972228"/>
    <w:rsid w:val="00974D2B"/>
    <w:rsid w:val="00977105"/>
    <w:rsid w:val="00977EDA"/>
    <w:rsid w:val="00980EAD"/>
    <w:rsid w:val="009830BC"/>
    <w:rsid w:val="00984A16"/>
    <w:rsid w:val="00985602"/>
    <w:rsid w:val="0098611E"/>
    <w:rsid w:val="009868B0"/>
    <w:rsid w:val="00987C90"/>
    <w:rsid w:val="00991E81"/>
    <w:rsid w:val="009976D9"/>
    <w:rsid w:val="00997B35"/>
    <w:rsid w:val="009A2AFB"/>
    <w:rsid w:val="009A2B89"/>
    <w:rsid w:val="009A591E"/>
    <w:rsid w:val="009A604E"/>
    <w:rsid w:val="009A6F62"/>
    <w:rsid w:val="009A7200"/>
    <w:rsid w:val="009A7D92"/>
    <w:rsid w:val="009B1A73"/>
    <w:rsid w:val="009B336D"/>
    <w:rsid w:val="009C0E19"/>
    <w:rsid w:val="009C19E9"/>
    <w:rsid w:val="009C1CDF"/>
    <w:rsid w:val="009C59F0"/>
    <w:rsid w:val="009C7BD8"/>
    <w:rsid w:val="009D2A88"/>
    <w:rsid w:val="009D618E"/>
    <w:rsid w:val="009D799B"/>
    <w:rsid w:val="009E0C52"/>
    <w:rsid w:val="009E2B54"/>
    <w:rsid w:val="009E633D"/>
    <w:rsid w:val="009E6EB4"/>
    <w:rsid w:val="009E7B07"/>
    <w:rsid w:val="009F02C3"/>
    <w:rsid w:val="009F1A70"/>
    <w:rsid w:val="009F4214"/>
    <w:rsid w:val="009F5D7C"/>
    <w:rsid w:val="00A00541"/>
    <w:rsid w:val="00A0139C"/>
    <w:rsid w:val="00A02F31"/>
    <w:rsid w:val="00A0433F"/>
    <w:rsid w:val="00A056C5"/>
    <w:rsid w:val="00A0590C"/>
    <w:rsid w:val="00A05CC3"/>
    <w:rsid w:val="00A10277"/>
    <w:rsid w:val="00A23405"/>
    <w:rsid w:val="00A300C5"/>
    <w:rsid w:val="00A30F71"/>
    <w:rsid w:val="00A31E9C"/>
    <w:rsid w:val="00A414E5"/>
    <w:rsid w:val="00A460D4"/>
    <w:rsid w:val="00A471BF"/>
    <w:rsid w:val="00A547AB"/>
    <w:rsid w:val="00A60D9E"/>
    <w:rsid w:val="00A636A6"/>
    <w:rsid w:val="00A636B3"/>
    <w:rsid w:val="00A64EF7"/>
    <w:rsid w:val="00A64FF1"/>
    <w:rsid w:val="00A666CB"/>
    <w:rsid w:val="00A7108B"/>
    <w:rsid w:val="00A71CD9"/>
    <w:rsid w:val="00A72315"/>
    <w:rsid w:val="00A7435A"/>
    <w:rsid w:val="00A7442F"/>
    <w:rsid w:val="00A75E4A"/>
    <w:rsid w:val="00A76A8A"/>
    <w:rsid w:val="00A80451"/>
    <w:rsid w:val="00A80537"/>
    <w:rsid w:val="00A83726"/>
    <w:rsid w:val="00A84618"/>
    <w:rsid w:val="00A84CD2"/>
    <w:rsid w:val="00A87282"/>
    <w:rsid w:val="00A87FAF"/>
    <w:rsid w:val="00A90C88"/>
    <w:rsid w:val="00A93310"/>
    <w:rsid w:val="00A93B46"/>
    <w:rsid w:val="00A97255"/>
    <w:rsid w:val="00AA0677"/>
    <w:rsid w:val="00AA4BA6"/>
    <w:rsid w:val="00AA54D7"/>
    <w:rsid w:val="00AA7FFE"/>
    <w:rsid w:val="00AB1BDA"/>
    <w:rsid w:val="00AB1E1A"/>
    <w:rsid w:val="00AB2062"/>
    <w:rsid w:val="00AB4226"/>
    <w:rsid w:val="00AB6779"/>
    <w:rsid w:val="00AC2EF3"/>
    <w:rsid w:val="00AC33C8"/>
    <w:rsid w:val="00AC3A74"/>
    <w:rsid w:val="00AC61B8"/>
    <w:rsid w:val="00AD065B"/>
    <w:rsid w:val="00AD1B20"/>
    <w:rsid w:val="00AD3DCC"/>
    <w:rsid w:val="00AD6CD3"/>
    <w:rsid w:val="00AE0978"/>
    <w:rsid w:val="00AE58CB"/>
    <w:rsid w:val="00AF01A2"/>
    <w:rsid w:val="00AF3298"/>
    <w:rsid w:val="00AF362C"/>
    <w:rsid w:val="00AF59B7"/>
    <w:rsid w:val="00AF646A"/>
    <w:rsid w:val="00B00D12"/>
    <w:rsid w:val="00B0104C"/>
    <w:rsid w:val="00B01BC9"/>
    <w:rsid w:val="00B027FC"/>
    <w:rsid w:val="00B0311E"/>
    <w:rsid w:val="00B03247"/>
    <w:rsid w:val="00B129A9"/>
    <w:rsid w:val="00B136F8"/>
    <w:rsid w:val="00B13751"/>
    <w:rsid w:val="00B17639"/>
    <w:rsid w:val="00B209AA"/>
    <w:rsid w:val="00B213B8"/>
    <w:rsid w:val="00B21CC1"/>
    <w:rsid w:val="00B22D9E"/>
    <w:rsid w:val="00B23A6B"/>
    <w:rsid w:val="00B339CE"/>
    <w:rsid w:val="00B379D3"/>
    <w:rsid w:val="00B41685"/>
    <w:rsid w:val="00B46DDC"/>
    <w:rsid w:val="00B47B2A"/>
    <w:rsid w:val="00B47D25"/>
    <w:rsid w:val="00B51400"/>
    <w:rsid w:val="00B51D07"/>
    <w:rsid w:val="00B52620"/>
    <w:rsid w:val="00B554B6"/>
    <w:rsid w:val="00B624DB"/>
    <w:rsid w:val="00B628D3"/>
    <w:rsid w:val="00B63A19"/>
    <w:rsid w:val="00B65522"/>
    <w:rsid w:val="00B72836"/>
    <w:rsid w:val="00B72A4D"/>
    <w:rsid w:val="00B75582"/>
    <w:rsid w:val="00B76767"/>
    <w:rsid w:val="00B8581D"/>
    <w:rsid w:val="00B87A75"/>
    <w:rsid w:val="00B91EF1"/>
    <w:rsid w:val="00B96993"/>
    <w:rsid w:val="00BA0B80"/>
    <w:rsid w:val="00BA2BEA"/>
    <w:rsid w:val="00BA701D"/>
    <w:rsid w:val="00BB1DE6"/>
    <w:rsid w:val="00BB55CD"/>
    <w:rsid w:val="00BC35BB"/>
    <w:rsid w:val="00BC3BF3"/>
    <w:rsid w:val="00BC785E"/>
    <w:rsid w:val="00BD263A"/>
    <w:rsid w:val="00BD3F85"/>
    <w:rsid w:val="00BD449E"/>
    <w:rsid w:val="00BD6D7F"/>
    <w:rsid w:val="00BE0241"/>
    <w:rsid w:val="00BE3869"/>
    <w:rsid w:val="00BE480D"/>
    <w:rsid w:val="00BE610B"/>
    <w:rsid w:val="00BF5A0A"/>
    <w:rsid w:val="00BF5A71"/>
    <w:rsid w:val="00C030F4"/>
    <w:rsid w:val="00C03E4E"/>
    <w:rsid w:val="00C05DC1"/>
    <w:rsid w:val="00C06D97"/>
    <w:rsid w:val="00C06E2C"/>
    <w:rsid w:val="00C079E2"/>
    <w:rsid w:val="00C07CED"/>
    <w:rsid w:val="00C138A9"/>
    <w:rsid w:val="00C15A5E"/>
    <w:rsid w:val="00C15BE2"/>
    <w:rsid w:val="00C16EE5"/>
    <w:rsid w:val="00C204BB"/>
    <w:rsid w:val="00C24E6C"/>
    <w:rsid w:val="00C25011"/>
    <w:rsid w:val="00C275BC"/>
    <w:rsid w:val="00C3022F"/>
    <w:rsid w:val="00C37403"/>
    <w:rsid w:val="00C409AE"/>
    <w:rsid w:val="00C4367C"/>
    <w:rsid w:val="00C445EE"/>
    <w:rsid w:val="00C46312"/>
    <w:rsid w:val="00C46E71"/>
    <w:rsid w:val="00C47426"/>
    <w:rsid w:val="00C47B5B"/>
    <w:rsid w:val="00C515FA"/>
    <w:rsid w:val="00C558B0"/>
    <w:rsid w:val="00C63DE8"/>
    <w:rsid w:val="00C65BDC"/>
    <w:rsid w:val="00C6668D"/>
    <w:rsid w:val="00C7166A"/>
    <w:rsid w:val="00C84FB1"/>
    <w:rsid w:val="00C865FE"/>
    <w:rsid w:val="00C90512"/>
    <w:rsid w:val="00C91010"/>
    <w:rsid w:val="00C94576"/>
    <w:rsid w:val="00C96714"/>
    <w:rsid w:val="00CA38C9"/>
    <w:rsid w:val="00CA7DD4"/>
    <w:rsid w:val="00CB11F4"/>
    <w:rsid w:val="00CB2AD3"/>
    <w:rsid w:val="00CB3D2A"/>
    <w:rsid w:val="00CB6CAA"/>
    <w:rsid w:val="00CC08CF"/>
    <w:rsid w:val="00CC3DA2"/>
    <w:rsid w:val="00CC5259"/>
    <w:rsid w:val="00CC58E5"/>
    <w:rsid w:val="00CD2A75"/>
    <w:rsid w:val="00CD5837"/>
    <w:rsid w:val="00CD590C"/>
    <w:rsid w:val="00CD6651"/>
    <w:rsid w:val="00CD6DA3"/>
    <w:rsid w:val="00CE14DE"/>
    <w:rsid w:val="00CE27DD"/>
    <w:rsid w:val="00CE364E"/>
    <w:rsid w:val="00CE4DDA"/>
    <w:rsid w:val="00CE5E48"/>
    <w:rsid w:val="00CF0BFA"/>
    <w:rsid w:val="00CF14E5"/>
    <w:rsid w:val="00CF33FB"/>
    <w:rsid w:val="00D00D3C"/>
    <w:rsid w:val="00D0106D"/>
    <w:rsid w:val="00D02204"/>
    <w:rsid w:val="00D03E6A"/>
    <w:rsid w:val="00D04B61"/>
    <w:rsid w:val="00D05D42"/>
    <w:rsid w:val="00D07E6F"/>
    <w:rsid w:val="00D1029E"/>
    <w:rsid w:val="00D10D69"/>
    <w:rsid w:val="00D16713"/>
    <w:rsid w:val="00D17182"/>
    <w:rsid w:val="00D1732A"/>
    <w:rsid w:val="00D17AE8"/>
    <w:rsid w:val="00D205C1"/>
    <w:rsid w:val="00D23B5E"/>
    <w:rsid w:val="00D24AE8"/>
    <w:rsid w:val="00D2559D"/>
    <w:rsid w:val="00D27760"/>
    <w:rsid w:val="00D31F39"/>
    <w:rsid w:val="00D32660"/>
    <w:rsid w:val="00D36C52"/>
    <w:rsid w:val="00D422AD"/>
    <w:rsid w:val="00D424F7"/>
    <w:rsid w:val="00D44102"/>
    <w:rsid w:val="00D44ACE"/>
    <w:rsid w:val="00D501D7"/>
    <w:rsid w:val="00D5374E"/>
    <w:rsid w:val="00D53E6C"/>
    <w:rsid w:val="00D559E4"/>
    <w:rsid w:val="00D60525"/>
    <w:rsid w:val="00D6720F"/>
    <w:rsid w:val="00D67E57"/>
    <w:rsid w:val="00D700FB"/>
    <w:rsid w:val="00D714AA"/>
    <w:rsid w:val="00D736B7"/>
    <w:rsid w:val="00D80C76"/>
    <w:rsid w:val="00D8302E"/>
    <w:rsid w:val="00D87F96"/>
    <w:rsid w:val="00D90A3D"/>
    <w:rsid w:val="00D92AD4"/>
    <w:rsid w:val="00D939A4"/>
    <w:rsid w:val="00D97835"/>
    <w:rsid w:val="00DA4333"/>
    <w:rsid w:val="00DB038A"/>
    <w:rsid w:val="00DB2B34"/>
    <w:rsid w:val="00DB42AF"/>
    <w:rsid w:val="00DB447D"/>
    <w:rsid w:val="00DB50F6"/>
    <w:rsid w:val="00DC62DC"/>
    <w:rsid w:val="00DC725D"/>
    <w:rsid w:val="00DD3AD6"/>
    <w:rsid w:val="00DD687C"/>
    <w:rsid w:val="00DE3D6A"/>
    <w:rsid w:val="00DE3F17"/>
    <w:rsid w:val="00DE793E"/>
    <w:rsid w:val="00DF0BA1"/>
    <w:rsid w:val="00DF169E"/>
    <w:rsid w:val="00DF76B0"/>
    <w:rsid w:val="00E0001B"/>
    <w:rsid w:val="00E00639"/>
    <w:rsid w:val="00E031F8"/>
    <w:rsid w:val="00E04AD0"/>
    <w:rsid w:val="00E05774"/>
    <w:rsid w:val="00E102B7"/>
    <w:rsid w:val="00E111EB"/>
    <w:rsid w:val="00E13E08"/>
    <w:rsid w:val="00E20AE4"/>
    <w:rsid w:val="00E20EFA"/>
    <w:rsid w:val="00E2112E"/>
    <w:rsid w:val="00E22503"/>
    <w:rsid w:val="00E22E40"/>
    <w:rsid w:val="00E23302"/>
    <w:rsid w:val="00E23ED1"/>
    <w:rsid w:val="00E30696"/>
    <w:rsid w:val="00E30CBC"/>
    <w:rsid w:val="00E34EF4"/>
    <w:rsid w:val="00E37071"/>
    <w:rsid w:val="00E41499"/>
    <w:rsid w:val="00E43335"/>
    <w:rsid w:val="00E47518"/>
    <w:rsid w:val="00E5135C"/>
    <w:rsid w:val="00E533D2"/>
    <w:rsid w:val="00E53768"/>
    <w:rsid w:val="00E61EF2"/>
    <w:rsid w:val="00E6205F"/>
    <w:rsid w:val="00E7203D"/>
    <w:rsid w:val="00E8045C"/>
    <w:rsid w:val="00E80C32"/>
    <w:rsid w:val="00E80C65"/>
    <w:rsid w:val="00E81040"/>
    <w:rsid w:val="00E8227E"/>
    <w:rsid w:val="00E839EA"/>
    <w:rsid w:val="00E841B5"/>
    <w:rsid w:val="00E84756"/>
    <w:rsid w:val="00E8680D"/>
    <w:rsid w:val="00E91E16"/>
    <w:rsid w:val="00E974AF"/>
    <w:rsid w:val="00EA151E"/>
    <w:rsid w:val="00EA18F5"/>
    <w:rsid w:val="00EB2E8C"/>
    <w:rsid w:val="00EB3F19"/>
    <w:rsid w:val="00EB566B"/>
    <w:rsid w:val="00ED2E5D"/>
    <w:rsid w:val="00EE0CDB"/>
    <w:rsid w:val="00EE20D6"/>
    <w:rsid w:val="00EF07A8"/>
    <w:rsid w:val="00EF1790"/>
    <w:rsid w:val="00EF3E88"/>
    <w:rsid w:val="00EF627B"/>
    <w:rsid w:val="00F02D09"/>
    <w:rsid w:val="00F07992"/>
    <w:rsid w:val="00F11C10"/>
    <w:rsid w:val="00F30AAF"/>
    <w:rsid w:val="00F33EF5"/>
    <w:rsid w:val="00F423C3"/>
    <w:rsid w:val="00F449BA"/>
    <w:rsid w:val="00F458FF"/>
    <w:rsid w:val="00F46AF4"/>
    <w:rsid w:val="00F47B40"/>
    <w:rsid w:val="00F503E5"/>
    <w:rsid w:val="00F531E9"/>
    <w:rsid w:val="00F64769"/>
    <w:rsid w:val="00F660E8"/>
    <w:rsid w:val="00F72238"/>
    <w:rsid w:val="00F731D7"/>
    <w:rsid w:val="00F74129"/>
    <w:rsid w:val="00F7417C"/>
    <w:rsid w:val="00F769BA"/>
    <w:rsid w:val="00F76CD6"/>
    <w:rsid w:val="00F76E5B"/>
    <w:rsid w:val="00F84019"/>
    <w:rsid w:val="00F92621"/>
    <w:rsid w:val="00F93DE1"/>
    <w:rsid w:val="00F958AE"/>
    <w:rsid w:val="00F95A09"/>
    <w:rsid w:val="00FA023B"/>
    <w:rsid w:val="00FA1DC5"/>
    <w:rsid w:val="00FA357E"/>
    <w:rsid w:val="00FA4574"/>
    <w:rsid w:val="00FA7B3C"/>
    <w:rsid w:val="00FB7050"/>
    <w:rsid w:val="00FC093E"/>
    <w:rsid w:val="00FC28E8"/>
    <w:rsid w:val="00FC4C39"/>
    <w:rsid w:val="00FC6E35"/>
    <w:rsid w:val="00FD02CD"/>
    <w:rsid w:val="00FD39F1"/>
    <w:rsid w:val="00FE173B"/>
    <w:rsid w:val="00FE419B"/>
    <w:rsid w:val="00FE4456"/>
    <w:rsid w:val="00FE47F9"/>
    <w:rsid w:val="00FF4985"/>
    <w:rsid w:val="00FF6C1B"/>
    <w:rsid w:val="01657124"/>
    <w:rsid w:val="031E99D5"/>
    <w:rsid w:val="04C2C803"/>
    <w:rsid w:val="05B71E40"/>
    <w:rsid w:val="0702CADF"/>
    <w:rsid w:val="076B468E"/>
    <w:rsid w:val="09AC67EF"/>
    <w:rsid w:val="0B0185F0"/>
    <w:rsid w:val="0C51992C"/>
    <w:rsid w:val="0E7BA8EC"/>
    <w:rsid w:val="1010578B"/>
    <w:rsid w:val="102A3ABB"/>
    <w:rsid w:val="128FED00"/>
    <w:rsid w:val="13558124"/>
    <w:rsid w:val="13BED12D"/>
    <w:rsid w:val="15A42922"/>
    <w:rsid w:val="1979725F"/>
    <w:rsid w:val="19A0F1C5"/>
    <w:rsid w:val="1AD2FE2F"/>
    <w:rsid w:val="1B65E59C"/>
    <w:rsid w:val="1C5C460B"/>
    <w:rsid w:val="1CD863C8"/>
    <w:rsid w:val="1D2A72FB"/>
    <w:rsid w:val="1DBFC7EB"/>
    <w:rsid w:val="1F292E3D"/>
    <w:rsid w:val="1FDB2610"/>
    <w:rsid w:val="201C99F5"/>
    <w:rsid w:val="215FB02F"/>
    <w:rsid w:val="2253D748"/>
    <w:rsid w:val="24C64451"/>
    <w:rsid w:val="25183FC7"/>
    <w:rsid w:val="2563D653"/>
    <w:rsid w:val="25798C2D"/>
    <w:rsid w:val="26D62E90"/>
    <w:rsid w:val="281DC690"/>
    <w:rsid w:val="29FE4F6B"/>
    <w:rsid w:val="2D5A1AA7"/>
    <w:rsid w:val="2F51D17F"/>
    <w:rsid w:val="2FCA3182"/>
    <w:rsid w:val="2FF4F3EC"/>
    <w:rsid w:val="32073571"/>
    <w:rsid w:val="329FB73D"/>
    <w:rsid w:val="32D80D00"/>
    <w:rsid w:val="32DC4AD5"/>
    <w:rsid w:val="3709C56A"/>
    <w:rsid w:val="3770AB7C"/>
    <w:rsid w:val="386E0216"/>
    <w:rsid w:val="3A0EF301"/>
    <w:rsid w:val="3A97C698"/>
    <w:rsid w:val="3B9403C4"/>
    <w:rsid w:val="3E63F506"/>
    <w:rsid w:val="3FB9CCD8"/>
    <w:rsid w:val="406B7CD1"/>
    <w:rsid w:val="40AB2017"/>
    <w:rsid w:val="42916331"/>
    <w:rsid w:val="43480CE6"/>
    <w:rsid w:val="439E74B2"/>
    <w:rsid w:val="444E3BEA"/>
    <w:rsid w:val="44858D33"/>
    <w:rsid w:val="45FF6837"/>
    <w:rsid w:val="47BA2D80"/>
    <w:rsid w:val="4A919AA2"/>
    <w:rsid w:val="4DB6F8C7"/>
    <w:rsid w:val="4EBE02DD"/>
    <w:rsid w:val="4F225AD6"/>
    <w:rsid w:val="4FC36935"/>
    <w:rsid w:val="50019C01"/>
    <w:rsid w:val="5013B8A9"/>
    <w:rsid w:val="506D7904"/>
    <w:rsid w:val="523AEAE2"/>
    <w:rsid w:val="52D075E1"/>
    <w:rsid w:val="545D4E52"/>
    <w:rsid w:val="5519AFB7"/>
    <w:rsid w:val="563D6C7F"/>
    <w:rsid w:val="5B141C8E"/>
    <w:rsid w:val="5B906DA0"/>
    <w:rsid w:val="5D3A7D0B"/>
    <w:rsid w:val="5EAC4BF8"/>
    <w:rsid w:val="60C930AE"/>
    <w:rsid w:val="60E7A6F1"/>
    <w:rsid w:val="61041F83"/>
    <w:rsid w:val="621B7E70"/>
    <w:rsid w:val="633C7808"/>
    <w:rsid w:val="6457F4AB"/>
    <w:rsid w:val="645BA817"/>
    <w:rsid w:val="64FB7539"/>
    <w:rsid w:val="66E8C6AF"/>
    <w:rsid w:val="67D21C3E"/>
    <w:rsid w:val="6877B35B"/>
    <w:rsid w:val="69F79462"/>
    <w:rsid w:val="6CF6DA0C"/>
    <w:rsid w:val="6F36DE31"/>
    <w:rsid w:val="70DB8F21"/>
    <w:rsid w:val="74A74E9D"/>
    <w:rsid w:val="7520A50D"/>
    <w:rsid w:val="75B101CF"/>
    <w:rsid w:val="77D661F0"/>
    <w:rsid w:val="796AE52A"/>
    <w:rsid w:val="7AA2F6E4"/>
    <w:rsid w:val="7BD25311"/>
    <w:rsid w:val="7C243D0F"/>
    <w:rsid w:val="7EB8A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BF099E"/>
  <w15:docId w15:val="{2C1B1631-5894-4EF8-97F6-F35F2287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2"/>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uiPriority="2" w:qFormat="1"/>
    <w:lsdException w:name="heading 3" w:uiPriority="3" w:qFormat="1"/>
    <w:lsdException w:name="heading 4" w:semiHidden="1" w:uiPriority="4" w:qFormat="1"/>
    <w:lsdException w:name="heading 5" w:semiHidden="1" w:uiPriority="5" w:qFormat="1"/>
    <w:lsdException w:name="heading 6" w:locked="1" w:semiHidden="1" w:uiPriority="9" w:qFormat="1"/>
    <w:lsdException w:name="heading 7" w:locked="1" w:semiHidden="1" w:uiPriority="9" w:qFormat="1"/>
    <w:lsdException w:name="heading 8" w:locked="1" w:semiHidden="1" w:uiPriority="9" w:qFormat="1"/>
    <w:lsdException w:name="heading 9" w:locked="1" w:semiHidden="1" w:uiPriority="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2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8" w:qFormat="1"/>
    <w:lsdException w:name="table of figures" w:semiHidden="1" w:unhideWhenUsed="1"/>
    <w:lsdException w:name="envelope address" w:semiHidden="1" w:unhideWhenUsed="1"/>
    <w:lsdException w:name="envelope return" w:semiHidden="1" w:unhideWhenUsed="1"/>
    <w:lsdException w:name="footnote reference" w:uiPriority="2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8" w:qFormat="1"/>
    <w:lsdException w:name="List Bullet 3" w:uiPriority="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9"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4"/>
    <w:qFormat/>
    <w:rsid w:val="008365F5"/>
    <w:pPr>
      <w:spacing w:after="0" w:line="240" w:lineRule="auto"/>
    </w:pPr>
  </w:style>
  <w:style w:type="paragraph" w:styleId="Heading1">
    <w:name w:val="heading 1"/>
    <w:basedOn w:val="Normal"/>
    <w:next w:val="BodyParagraph"/>
    <w:link w:val="Heading1Char"/>
    <w:uiPriority w:val="1"/>
    <w:qFormat/>
    <w:rsid w:val="008365F5"/>
    <w:pPr>
      <w:keepNext/>
      <w:keepLines/>
      <w:pageBreakBefore/>
      <w:numPr>
        <w:numId w:val="13"/>
      </w:numPr>
      <w:pBdr>
        <w:bottom w:val="single" w:sz="48" w:space="4" w:color="59595C" w:themeColor="text1" w:themeTint="E6"/>
      </w:pBdr>
      <w:spacing w:before="360" w:after="200"/>
      <w:outlineLvl w:val="0"/>
    </w:pPr>
    <w:rPr>
      <w:rFonts w:asciiTheme="majorHAnsi" w:eastAsiaTheme="majorEastAsia" w:hAnsiTheme="majorHAnsi" w:cstheme="majorBidi"/>
      <w:b/>
      <w:bCs/>
      <w:caps/>
      <w:color w:val="F68B1F" w:themeColor="background2"/>
      <w:spacing w:val="20"/>
      <w:sz w:val="36"/>
      <w:szCs w:val="28"/>
    </w:rPr>
  </w:style>
  <w:style w:type="paragraph" w:styleId="Heading2">
    <w:name w:val="heading 2"/>
    <w:basedOn w:val="Heading1"/>
    <w:next w:val="BodyParagraph"/>
    <w:link w:val="Heading2Char"/>
    <w:uiPriority w:val="2"/>
    <w:qFormat/>
    <w:rsid w:val="008365F5"/>
    <w:pPr>
      <w:pageBreakBefore w:val="0"/>
      <w:numPr>
        <w:ilvl w:val="1"/>
      </w:numPr>
      <w:pBdr>
        <w:bottom w:val="none" w:sz="0" w:space="0" w:color="auto"/>
      </w:pBdr>
      <w:spacing w:before="240" w:after="160"/>
      <w:ind w:left="0" w:firstLine="0"/>
      <w:outlineLvl w:val="1"/>
    </w:pPr>
    <w:rPr>
      <w:bCs w:val="0"/>
      <w:color w:val="262626" w:themeColor="text2"/>
      <w:sz w:val="32"/>
      <w:szCs w:val="26"/>
    </w:rPr>
  </w:style>
  <w:style w:type="paragraph" w:styleId="Heading3">
    <w:name w:val="heading 3"/>
    <w:basedOn w:val="Heading2"/>
    <w:next w:val="BodyParagraph"/>
    <w:link w:val="Heading3Char"/>
    <w:uiPriority w:val="3"/>
    <w:qFormat/>
    <w:rsid w:val="008365F5"/>
    <w:pPr>
      <w:numPr>
        <w:ilvl w:val="2"/>
      </w:numPr>
      <w:spacing w:before="200" w:after="120"/>
      <w:ind w:left="0" w:firstLine="0"/>
      <w:outlineLvl w:val="2"/>
    </w:pPr>
    <w:rPr>
      <w:bCs/>
      <w:caps w:val="0"/>
      <w:spacing w:val="0"/>
      <w:sz w:val="28"/>
    </w:rPr>
  </w:style>
  <w:style w:type="paragraph" w:styleId="Heading4">
    <w:name w:val="heading 4"/>
    <w:basedOn w:val="Normal"/>
    <w:next w:val="BodyParagraph"/>
    <w:link w:val="Heading4Char"/>
    <w:uiPriority w:val="4"/>
    <w:qFormat/>
    <w:rsid w:val="008365F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8365F5"/>
    <w:pPr>
      <w:spacing w:after="80" w:line="276" w:lineRule="auto"/>
      <w:outlineLvl w:val="4"/>
    </w:pPr>
    <w:rPr>
      <w:b w:val="0"/>
      <w:i w:val="0"/>
      <w:color w:val="006FA1" w:themeColor="accent1"/>
    </w:rPr>
  </w:style>
  <w:style w:type="paragraph" w:styleId="Heading9">
    <w:name w:val="heading 9"/>
    <w:basedOn w:val="Heading1"/>
    <w:next w:val="BodyParagraph"/>
    <w:link w:val="Heading9Char"/>
    <w:uiPriority w:val="6"/>
    <w:qFormat/>
    <w:locked/>
    <w:rsid w:val="008365F5"/>
    <w:pPr>
      <w:numPr>
        <w:numId w:val="14"/>
      </w:numPr>
      <w:outlineLvl w:val="8"/>
    </w:pPr>
    <w:rPr>
      <w:bCs w:val="0"/>
      <w:iCs/>
      <w:color w:val="262626"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semiHidden/>
    <w:qFormat/>
    <w:rsid w:val="008365F5"/>
    <w:pPr>
      <w:spacing w:after="0" w:line="240" w:lineRule="auto"/>
    </w:pPr>
    <w:rPr>
      <w:rFonts w:ascii="Arial" w:hAnsi="Arial"/>
    </w:rPr>
  </w:style>
  <w:style w:type="character" w:customStyle="1" w:styleId="Heading1Char">
    <w:name w:val="Heading 1 Char"/>
    <w:basedOn w:val="DefaultParagraphFont"/>
    <w:link w:val="Heading1"/>
    <w:uiPriority w:val="1"/>
    <w:rsid w:val="008365F5"/>
    <w:rPr>
      <w:rFonts w:asciiTheme="majorHAnsi" w:eastAsiaTheme="majorEastAsia" w:hAnsiTheme="majorHAnsi" w:cstheme="majorBidi"/>
      <w:b/>
      <w:bCs/>
      <w:caps/>
      <w:color w:val="F68B1F" w:themeColor="background2"/>
      <w:spacing w:val="20"/>
      <w:sz w:val="36"/>
      <w:szCs w:val="28"/>
    </w:rPr>
  </w:style>
  <w:style w:type="paragraph" w:styleId="Header">
    <w:name w:val="header"/>
    <w:basedOn w:val="Normal"/>
    <w:link w:val="HeaderChar"/>
    <w:uiPriority w:val="99"/>
    <w:semiHidden/>
    <w:rsid w:val="008365F5"/>
    <w:pPr>
      <w:tabs>
        <w:tab w:val="center" w:pos="4680"/>
        <w:tab w:val="right" w:pos="9360"/>
      </w:tabs>
    </w:pPr>
    <w:rPr>
      <w:color w:val="757578" w:themeColor="text1" w:themeTint="BF"/>
      <w:sz w:val="18"/>
    </w:rPr>
  </w:style>
  <w:style w:type="character" w:customStyle="1" w:styleId="HeaderChar">
    <w:name w:val="Header Char"/>
    <w:basedOn w:val="DefaultParagraphFont"/>
    <w:link w:val="Header"/>
    <w:uiPriority w:val="99"/>
    <w:semiHidden/>
    <w:rsid w:val="008365F5"/>
    <w:rPr>
      <w:color w:val="757578" w:themeColor="text1" w:themeTint="BF"/>
      <w:sz w:val="18"/>
    </w:rPr>
  </w:style>
  <w:style w:type="paragraph" w:styleId="Footer">
    <w:name w:val="footer"/>
    <w:basedOn w:val="Normal"/>
    <w:link w:val="FooterChar"/>
    <w:uiPriority w:val="99"/>
    <w:semiHidden/>
    <w:rsid w:val="008365F5"/>
    <w:pPr>
      <w:tabs>
        <w:tab w:val="center" w:pos="4680"/>
        <w:tab w:val="right" w:pos="9360"/>
      </w:tabs>
    </w:pPr>
    <w:rPr>
      <w:color w:val="757578" w:themeColor="text1" w:themeTint="BF"/>
      <w:sz w:val="18"/>
    </w:rPr>
  </w:style>
  <w:style w:type="character" w:customStyle="1" w:styleId="FooterChar">
    <w:name w:val="Footer Char"/>
    <w:basedOn w:val="DefaultParagraphFont"/>
    <w:link w:val="Footer"/>
    <w:uiPriority w:val="99"/>
    <w:semiHidden/>
    <w:rsid w:val="008365F5"/>
    <w:rPr>
      <w:color w:val="757578" w:themeColor="text1" w:themeTint="BF"/>
      <w:sz w:val="18"/>
    </w:rPr>
  </w:style>
  <w:style w:type="table" w:styleId="TableGrid">
    <w:name w:val="Table Grid"/>
    <w:basedOn w:val="TableNormal"/>
    <w:uiPriority w:val="59"/>
    <w:rsid w:val="00836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365F5"/>
    <w:rPr>
      <w:rFonts w:ascii="Tahoma" w:hAnsi="Tahoma" w:cs="Tahoma"/>
      <w:sz w:val="16"/>
      <w:szCs w:val="16"/>
    </w:rPr>
  </w:style>
  <w:style w:type="character" w:customStyle="1" w:styleId="BalloonTextChar">
    <w:name w:val="Balloon Text Char"/>
    <w:basedOn w:val="DefaultParagraphFont"/>
    <w:link w:val="BalloonText"/>
    <w:uiPriority w:val="99"/>
    <w:semiHidden/>
    <w:rsid w:val="008365F5"/>
    <w:rPr>
      <w:rFonts w:ascii="Tahoma" w:hAnsi="Tahoma" w:cs="Tahoma"/>
      <w:sz w:val="16"/>
      <w:szCs w:val="16"/>
    </w:rPr>
  </w:style>
  <w:style w:type="character" w:styleId="PlaceholderText">
    <w:name w:val="Placeholder Text"/>
    <w:basedOn w:val="DefaultParagraphFont"/>
    <w:uiPriority w:val="99"/>
    <w:semiHidden/>
    <w:rsid w:val="008365F5"/>
    <w:rPr>
      <w:color w:val="808080"/>
    </w:rPr>
  </w:style>
  <w:style w:type="character" w:customStyle="1" w:styleId="Heading2Char">
    <w:name w:val="Heading 2 Char"/>
    <w:basedOn w:val="DefaultParagraphFont"/>
    <w:link w:val="Heading2"/>
    <w:uiPriority w:val="2"/>
    <w:rsid w:val="008365F5"/>
    <w:rPr>
      <w:rFonts w:asciiTheme="majorHAnsi" w:eastAsiaTheme="majorEastAsia" w:hAnsiTheme="majorHAnsi" w:cstheme="majorBidi"/>
      <w:b/>
      <w:caps/>
      <w:spacing w:val="20"/>
      <w:sz w:val="32"/>
      <w:szCs w:val="26"/>
    </w:rPr>
  </w:style>
  <w:style w:type="character" w:customStyle="1" w:styleId="Heading3Char">
    <w:name w:val="Heading 3 Char"/>
    <w:basedOn w:val="DefaultParagraphFont"/>
    <w:link w:val="Heading3"/>
    <w:uiPriority w:val="3"/>
    <w:rsid w:val="008365F5"/>
    <w:rPr>
      <w:rFonts w:asciiTheme="majorHAnsi" w:eastAsiaTheme="majorEastAsia" w:hAnsiTheme="majorHAnsi" w:cstheme="majorBidi"/>
      <w:b/>
      <w:bCs/>
      <w:sz w:val="28"/>
      <w:szCs w:val="26"/>
    </w:rPr>
  </w:style>
  <w:style w:type="paragraph" w:customStyle="1" w:styleId="Tasks">
    <w:name w:val="Tasks"/>
    <w:basedOn w:val="Heading5"/>
    <w:next w:val="BodyParagraph"/>
    <w:uiPriority w:val="10"/>
    <w:qFormat/>
    <w:rsid w:val="008365F5"/>
    <w:pPr>
      <w:numPr>
        <w:numId w:val="15"/>
      </w:numPr>
      <w:spacing w:before="240"/>
    </w:pPr>
    <w:rPr>
      <w:b/>
      <w:color w:val="262626" w:themeColor="text2"/>
      <w:sz w:val="22"/>
    </w:rPr>
  </w:style>
  <w:style w:type="character" w:styleId="Hyperlink">
    <w:name w:val="Hyperlink"/>
    <w:basedOn w:val="DefaultParagraphFont"/>
    <w:uiPriority w:val="99"/>
    <w:rsid w:val="008365F5"/>
    <w:rPr>
      <w:color w:val="48484A" w:themeColor="hyperlink"/>
      <w:u w:val="single"/>
    </w:rPr>
  </w:style>
  <w:style w:type="paragraph" w:styleId="TOC1">
    <w:name w:val="toc 1"/>
    <w:basedOn w:val="Normal"/>
    <w:next w:val="Normal"/>
    <w:autoRedefine/>
    <w:uiPriority w:val="39"/>
    <w:rsid w:val="008365F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8365F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8365F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8365F5"/>
    <w:pPr>
      <w:keepNext/>
      <w:spacing w:before="200" w:after="60"/>
    </w:pPr>
    <w:rPr>
      <w:b/>
      <w:bCs/>
      <w:caps/>
      <w:sz w:val="20"/>
      <w:szCs w:val="18"/>
    </w:rPr>
  </w:style>
  <w:style w:type="paragraph" w:styleId="TableofFigures">
    <w:name w:val="table of figures"/>
    <w:basedOn w:val="Normal"/>
    <w:next w:val="Normal"/>
    <w:uiPriority w:val="99"/>
    <w:rsid w:val="008365F5"/>
    <w:pPr>
      <w:ind w:left="360" w:right="720" w:hanging="360"/>
    </w:pPr>
    <w:rPr>
      <w:b/>
      <w:caps/>
      <w:sz w:val="16"/>
    </w:rPr>
  </w:style>
  <w:style w:type="paragraph" w:styleId="ListParagraph">
    <w:name w:val="List Paragraph"/>
    <w:basedOn w:val="Normal"/>
    <w:link w:val="ListParagraphChar"/>
    <w:uiPriority w:val="19"/>
    <w:qFormat/>
    <w:rsid w:val="008365F5"/>
    <w:pPr>
      <w:numPr>
        <w:numId w:val="20"/>
      </w:numPr>
      <w:spacing w:before="120" w:after="120" w:line="300" w:lineRule="atLeast"/>
    </w:pPr>
  </w:style>
  <w:style w:type="paragraph" w:customStyle="1" w:styleId="TableListBullet">
    <w:name w:val="Table List Bullet"/>
    <w:basedOn w:val="ListParagraph"/>
    <w:link w:val="TableListBulletChar"/>
    <w:uiPriority w:val="15"/>
    <w:qFormat/>
    <w:rsid w:val="008365F5"/>
    <w:pPr>
      <w:numPr>
        <w:numId w:val="22"/>
      </w:numPr>
    </w:pPr>
    <w:rPr>
      <w:rFonts w:cs="Arial"/>
      <w:sz w:val="20"/>
      <w:szCs w:val="18"/>
    </w:rPr>
  </w:style>
  <w:style w:type="character" w:customStyle="1" w:styleId="ListParagraphChar">
    <w:name w:val="List Paragraph Char"/>
    <w:basedOn w:val="DefaultParagraphFont"/>
    <w:link w:val="ListParagraph"/>
    <w:uiPriority w:val="19"/>
    <w:rsid w:val="008365F5"/>
  </w:style>
  <w:style w:type="character" w:customStyle="1" w:styleId="TableListBulletChar">
    <w:name w:val="Table List Bullet Char"/>
    <w:basedOn w:val="ListParagraphChar"/>
    <w:link w:val="TableListBullet"/>
    <w:uiPriority w:val="15"/>
    <w:rsid w:val="008365F5"/>
    <w:rPr>
      <w:rFonts w:cs="Arial"/>
      <w:sz w:val="20"/>
      <w:szCs w:val="18"/>
    </w:rPr>
  </w:style>
  <w:style w:type="paragraph" w:customStyle="1" w:styleId="TableBodyNarrow">
    <w:name w:val="Table Body (Narrow)"/>
    <w:basedOn w:val="Normal"/>
    <w:uiPriority w:val="14"/>
    <w:qFormat/>
    <w:rsid w:val="008365F5"/>
    <w:rPr>
      <w:sz w:val="20"/>
    </w:rPr>
  </w:style>
  <w:style w:type="character" w:customStyle="1" w:styleId="NoSpacingChar">
    <w:name w:val="No Spacing Char"/>
    <w:basedOn w:val="DefaultParagraphFont"/>
    <w:link w:val="NoSpacing"/>
    <w:uiPriority w:val="1"/>
    <w:semiHidden/>
    <w:rsid w:val="008365F5"/>
    <w:rPr>
      <w:rFonts w:ascii="Arial" w:hAnsi="Arial"/>
    </w:rPr>
  </w:style>
  <w:style w:type="paragraph" w:customStyle="1" w:styleId="TableCaption">
    <w:name w:val="Table Caption"/>
    <w:basedOn w:val="Caption"/>
    <w:link w:val="TableCaptionChar"/>
    <w:uiPriority w:val="35"/>
    <w:semiHidden/>
    <w:rsid w:val="008365F5"/>
  </w:style>
  <w:style w:type="character" w:customStyle="1" w:styleId="CaptionChar">
    <w:name w:val="Caption Char"/>
    <w:basedOn w:val="DefaultParagraphFont"/>
    <w:link w:val="Caption"/>
    <w:uiPriority w:val="18"/>
    <w:rsid w:val="008365F5"/>
    <w:rPr>
      <w:b/>
      <w:bCs/>
      <w:caps/>
      <w:sz w:val="20"/>
      <w:szCs w:val="18"/>
    </w:rPr>
  </w:style>
  <w:style w:type="character" w:customStyle="1" w:styleId="TableCaptionChar">
    <w:name w:val="Table Caption Char"/>
    <w:basedOn w:val="CaptionChar"/>
    <w:link w:val="TableCaption"/>
    <w:uiPriority w:val="35"/>
    <w:semiHidden/>
    <w:rsid w:val="008365F5"/>
    <w:rPr>
      <w:b/>
      <w:bCs/>
      <w:caps/>
      <w:sz w:val="20"/>
      <w:szCs w:val="18"/>
    </w:rPr>
  </w:style>
  <w:style w:type="paragraph" w:customStyle="1" w:styleId="Items">
    <w:name w:val="Items"/>
    <w:basedOn w:val="Tasks"/>
    <w:next w:val="BodyParagraph"/>
    <w:uiPriority w:val="11"/>
    <w:qFormat/>
    <w:rsid w:val="008365F5"/>
    <w:pPr>
      <w:numPr>
        <w:numId w:val="16"/>
      </w:numPr>
    </w:pPr>
  </w:style>
  <w:style w:type="character" w:styleId="Emphasis">
    <w:name w:val="Emphasis"/>
    <w:basedOn w:val="DefaultParagraphFont"/>
    <w:uiPriority w:val="20"/>
    <w:qFormat/>
    <w:rsid w:val="008365F5"/>
    <w:rPr>
      <w:rFonts w:ascii="Arial" w:hAnsi="Arial"/>
      <w:b/>
      <w:i w:val="0"/>
      <w:iCs/>
      <w:caps/>
      <w:smallCaps w:val="0"/>
      <w:noProof w:val="0"/>
      <w:color w:val="262626" w:themeColor="text2"/>
      <w:sz w:val="22"/>
      <w:lang w:val="en-US"/>
    </w:rPr>
  </w:style>
  <w:style w:type="character" w:styleId="SubtleEmphasis">
    <w:name w:val="Subtle Emphasis"/>
    <w:basedOn w:val="DefaultParagraphFont"/>
    <w:uiPriority w:val="17"/>
    <w:qFormat/>
    <w:rsid w:val="008365F5"/>
    <w:rPr>
      <w:rFonts w:ascii="Arial" w:hAnsi="Arial"/>
      <w:i/>
      <w:iCs/>
      <w:noProof w:val="0"/>
      <w:color w:val="262626" w:themeColor="text2"/>
      <w:sz w:val="22"/>
      <w:lang w:val="en-US"/>
    </w:rPr>
  </w:style>
  <w:style w:type="paragraph" w:styleId="ListBullet">
    <w:name w:val="List Bullet"/>
    <w:basedOn w:val="ListParagraph"/>
    <w:uiPriority w:val="7"/>
    <w:qFormat/>
    <w:rsid w:val="008365F5"/>
  </w:style>
  <w:style w:type="paragraph" w:styleId="ListBullet2">
    <w:name w:val="List Bullet 2"/>
    <w:basedOn w:val="Normal"/>
    <w:uiPriority w:val="8"/>
    <w:qFormat/>
    <w:rsid w:val="008365F5"/>
    <w:pPr>
      <w:numPr>
        <w:ilvl w:val="1"/>
        <w:numId w:val="20"/>
      </w:numPr>
      <w:spacing w:before="120" w:after="120" w:line="300" w:lineRule="atLeast"/>
      <w:contextualSpacing/>
    </w:pPr>
  </w:style>
  <w:style w:type="paragraph" w:styleId="ListBullet3">
    <w:name w:val="List Bullet 3"/>
    <w:basedOn w:val="Normal"/>
    <w:uiPriority w:val="9"/>
    <w:qFormat/>
    <w:rsid w:val="008365F5"/>
    <w:pPr>
      <w:numPr>
        <w:ilvl w:val="2"/>
        <w:numId w:val="20"/>
      </w:numPr>
      <w:spacing w:before="120" w:after="120" w:line="300" w:lineRule="atLeast"/>
      <w:contextualSpacing/>
    </w:pPr>
  </w:style>
  <w:style w:type="numbering" w:customStyle="1" w:styleId="ListBullets">
    <w:name w:val="ListBullets"/>
    <w:uiPriority w:val="99"/>
    <w:rsid w:val="008365F5"/>
    <w:pPr>
      <w:numPr>
        <w:numId w:val="1"/>
      </w:numPr>
    </w:pPr>
  </w:style>
  <w:style w:type="paragraph" w:styleId="FootnoteText">
    <w:name w:val="footnote text"/>
    <w:basedOn w:val="Normal"/>
    <w:link w:val="FootnoteTextChar"/>
    <w:uiPriority w:val="21"/>
    <w:rsid w:val="008365F5"/>
    <w:rPr>
      <w:sz w:val="20"/>
      <w:szCs w:val="20"/>
    </w:rPr>
  </w:style>
  <w:style w:type="character" w:customStyle="1" w:styleId="FootnoteTextChar">
    <w:name w:val="Footnote Text Char"/>
    <w:basedOn w:val="DefaultParagraphFont"/>
    <w:link w:val="FootnoteText"/>
    <w:uiPriority w:val="21"/>
    <w:rsid w:val="008365F5"/>
    <w:rPr>
      <w:sz w:val="20"/>
      <w:szCs w:val="20"/>
    </w:rPr>
  </w:style>
  <w:style w:type="character" w:styleId="FootnoteReference">
    <w:name w:val="footnote reference"/>
    <w:basedOn w:val="DefaultParagraphFont"/>
    <w:uiPriority w:val="20"/>
    <w:rsid w:val="008365F5"/>
    <w:rPr>
      <w:rFonts w:ascii="Arial" w:hAnsi="Arial"/>
      <w:color w:val="262626" w:themeColor="text2"/>
      <w:vertAlign w:val="superscript"/>
    </w:rPr>
  </w:style>
  <w:style w:type="numbering" w:customStyle="1" w:styleId="ListBullets1">
    <w:name w:val="ListBullets1"/>
    <w:uiPriority w:val="99"/>
    <w:rsid w:val="008365F5"/>
  </w:style>
  <w:style w:type="character" w:customStyle="1" w:styleId="Heading9Char">
    <w:name w:val="Heading 9 Char"/>
    <w:basedOn w:val="DefaultParagraphFont"/>
    <w:link w:val="Heading9"/>
    <w:uiPriority w:val="6"/>
    <w:rsid w:val="008365F5"/>
    <w:rPr>
      <w:rFonts w:asciiTheme="majorHAnsi" w:eastAsiaTheme="majorEastAsia" w:hAnsiTheme="majorHAnsi" w:cstheme="majorBidi"/>
      <w:b/>
      <w:iCs/>
      <w:caps/>
      <w:spacing w:val="20"/>
      <w:sz w:val="36"/>
      <w:szCs w:val="20"/>
    </w:rPr>
  </w:style>
  <w:style w:type="character" w:styleId="Strong">
    <w:name w:val="Strong"/>
    <w:basedOn w:val="DefaultParagraphFont"/>
    <w:uiPriority w:val="22"/>
    <w:semiHidden/>
    <w:qFormat/>
    <w:rsid w:val="008365F5"/>
    <w:rPr>
      <w:rFonts w:ascii="Arial" w:hAnsi="Arial"/>
      <w:b/>
      <w:bCs/>
      <w:color w:val="48484A" w:themeColor="text1"/>
    </w:rPr>
  </w:style>
  <w:style w:type="character" w:customStyle="1" w:styleId="Heading4Char">
    <w:name w:val="Heading 4 Char"/>
    <w:basedOn w:val="DefaultParagraphFont"/>
    <w:link w:val="Heading4"/>
    <w:uiPriority w:val="4"/>
    <w:rsid w:val="008365F5"/>
    <w:rPr>
      <w:rFonts w:asciiTheme="majorHAnsi" w:eastAsiaTheme="majorEastAsia" w:hAnsiTheme="majorHAnsi" w:cstheme="majorBidi"/>
      <w:b/>
      <w:bCs/>
      <w:i/>
      <w:iCs/>
      <w:sz w:val="24"/>
    </w:rPr>
  </w:style>
  <w:style w:type="paragraph" w:customStyle="1" w:styleId="BodyParagraph">
    <w:name w:val="Body Paragraph"/>
    <w:basedOn w:val="Normal"/>
    <w:link w:val="BodyParagraphChar"/>
    <w:qFormat/>
    <w:rsid w:val="008365F5"/>
    <w:pPr>
      <w:spacing w:before="120" w:after="120" w:line="300" w:lineRule="atLeast"/>
    </w:pPr>
  </w:style>
  <w:style w:type="character" w:customStyle="1" w:styleId="BodyParagraphChar">
    <w:name w:val="Body Paragraph Char"/>
    <w:basedOn w:val="DefaultParagraphFont"/>
    <w:link w:val="BodyParagraph"/>
    <w:rsid w:val="008365F5"/>
  </w:style>
  <w:style w:type="table" w:customStyle="1" w:styleId="BandedBlue">
    <w:name w:val="Banded (Blue)"/>
    <w:basedOn w:val="TableNormal"/>
    <w:uiPriority w:val="99"/>
    <w:rsid w:val="008365F5"/>
    <w:pPr>
      <w:spacing w:after="0" w:line="240" w:lineRule="auto"/>
      <w:jc w:val="right"/>
    </w:pPr>
    <w:rPr>
      <w:rFonts w:ascii="Arial" w:hAnsi="Arial"/>
      <w:sz w:val="20"/>
    </w:rPr>
    <w:tblPr>
      <w:tblStyleRowBandSize w:val="1"/>
      <w:tblBorders>
        <w:bottom w:val="single" w:sz="4" w:space="0" w:color="006FA1" w:themeColor="accent1"/>
      </w:tblBorders>
    </w:tblPr>
    <w:tcPr>
      <w:vAlign w:val="center"/>
    </w:tcPr>
    <w:tblStylePr w:type="firstRow">
      <w:pPr>
        <w:wordWrap/>
        <w:contextualSpacing w:val="0"/>
      </w:pPr>
      <w:rPr>
        <w:rFonts w:ascii="Arial" w:hAnsi="Arial"/>
        <w:b/>
        <w:sz w:val="20"/>
      </w:rPr>
      <w:tblPr/>
      <w:tcPr>
        <w:tcBorders>
          <w:top w:val="single" w:sz="18" w:space="0" w:color="006FA1" w:themeColor="accent1"/>
        </w:tcBorders>
      </w:tcPr>
    </w:tblStylePr>
    <w:tblStylePr w:type="firstCol">
      <w:pPr>
        <w:jc w:val="left"/>
      </w:pPr>
      <w:rPr>
        <w:rFonts w:ascii="Arial" w:hAnsi="Arial"/>
        <w:sz w:val="20"/>
      </w:rPr>
    </w:tblStylePr>
    <w:tblStylePr w:type="band1Horz">
      <w:tblPr/>
      <w:tcPr>
        <w:shd w:val="clear" w:color="auto" w:fill="ECECEC" w:themeFill="text1" w:themeFillTint="1A"/>
      </w:tcPr>
    </w:tblStylePr>
  </w:style>
  <w:style w:type="table" w:customStyle="1" w:styleId="BandedOrange">
    <w:name w:val="Banded (Orange)"/>
    <w:basedOn w:val="TableNormal"/>
    <w:uiPriority w:val="99"/>
    <w:rsid w:val="008365F5"/>
    <w:pPr>
      <w:spacing w:after="0" w:line="240" w:lineRule="auto"/>
      <w:jc w:val="right"/>
    </w:pPr>
    <w:rPr>
      <w:rFonts w:ascii="Arial" w:hAnsi="Arial"/>
      <w:sz w:val="20"/>
    </w:rPr>
    <w:tblPr>
      <w:tblStyleRowBandSize w:val="1"/>
      <w:tblBorders>
        <w:bottom w:val="single" w:sz="4" w:space="0" w:color="F68B1F"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F68B1F"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CECEC" w:themeFill="text1" w:themeFillTint="1A"/>
      </w:tcPr>
    </w:tblStylePr>
  </w:style>
  <w:style w:type="table" w:customStyle="1" w:styleId="BandedRSGBlack">
    <w:name w:val="Banded (RSG Black)"/>
    <w:basedOn w:val="TableNormal"/>
    <w:uiPriority w:val="99"/>
    <w:rsid w:val="008365F5"/>
    <w:pPr>
      <w:spacing w:after="0" w:line="240" w:lineRule="auto"/>
      <w:jc w:val="right"/>
    </w:pPr>
    <w:rPr>
      <w:rFonts w:ascii="Arial" w:hAnsi="Arial"/>
      <w:sz w:val="20"/>
    </w:rPr>
    <w:tblPr>
      <w:tblStyleRowBandSize w:val="1"/>
      <w:tblBorders>
        <w:top w:val="single" w:sz="4" w:space="0" w:color="48484A" w:themeColor="text1"/>
        <w:bottom w:val="single" w:sz="4" w:space="0" w:color="48484A" w:themeColor="text1"/>
      </w:tblBorders>
    </w:tblPr>
    <w:tcPr>
      <w:vAlign w:val="center"/>
    </w:tcPr>
    <w:tblStylePr w:type="firstRow">
      <w:pPr>
        <w:wordWrap/>
        <w:contextualSpacing w:val="0"/>
      </w:pPr>
      <w:rPr>
        <w:rFonts w:ascii="Arial" w:hAnsi="Arial"/>
        <w:b/>
        <w:sz w:val="20"/>
      </w:rPr>
      <w:tblPr/>
      <w:tcPr>
        <w:tcBorders>
          <w:top w:val="single" w:sz="18" w:space="0" w:color="48484A" w:themeColor="text1"/>
        </w:tcBorders>
      </w:tcPr>
    </w:tblStylePr>
    <w:tblStylePr w:type="firstCol">
      <w:pPr>
        <w:jc w:val="left"/>
      </w:pPr>
    </w:tblStylePr>
    <w:tblStylePr w:type="band1Horz">
      <w:tblPr/>
      <w:tcPr>
        <w:shd w:val="clear" w:color="auto" w:fill="ECECEC" w:themeFill="text1" w:themeFillTint="1A"/>
      </w:tcPr>
    </w:tblStylePr>
  </w:style>
  <w:style w:type="table" w:customStyle="1" w:styleId="BlueCentered">
    <w:name w:val="Blue (Centered)"/>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006FA1" w:themeFill="accent1"/>
      </w:tcPr>
    </w:tblStylePr>
    <w:tblStylePr w:type="lastRow">
      <w:tblPr/>
      <w:tcPr>
        <w:tcBorders>
          <w:top w:val="nil"/>
          <w:left w:val="nil"/>
          <w:bottom w:val="single" w:sz="12" w:space="0" w:color="48484A" w:themeColor="text1"/>
          <w:right w:val="nil"/>
          <w:insideH w:val="nil"/>
          <w:insideV w:val="nil"/>
          <w:tl2br w:val="nil"/>
          <w:tr2bl w:val="nil"/>
        </w:tcBorders>
      </w:tcPr>
    </w:tblStylePr>
    <w:tblStylePr w:type="lastCol">
      <w:pPr>
        <w:wordWrap/>
        <w:spacing w:beforeLines="0" w:before="0" w:beforeAutospacing="0" w:afterLines="0" w:after="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006FA1" w:themeFill="accent1"/>
      </w:tcPr>
    </w:tblStylePr>
    <w:tblStylePr w:type="firstCol">
      <w:pPr>
        <w:jc w:val="left"/>
      </w:pPr>
    </w:tblStylePr>
  </w:style>
  <w:style w:type="table" w:customStyle="1" w:styleId="BlueRight">
    <w:name w:val="Blue (Right)"/>
    <w:basedOn w:val="TableNormal"/>
    <w:uiPriority w:val="99"/>
    <w:rsid w:val="008365F5"/>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006FA1" w:themeFill="accent1"/>
      </w:tcPr>
    </w:tblStylePr>
    <w:tblStylePr w:type="firstCol">
      <w:pPr>
        <w:jc w:val="left"/>
      </w:pPr>
    </w:tblStylePr>
  </w:style>
  <w:style w:type="character" w:styleId="BookTitle">
    <w:name w:val="Book Title"/>
    <w:basedOn w:val="DefaultParagraphFont"/>
    <w:uiPriority w:val="33"/>
    <w:semiHidden/>
    <w:qFormat/>
    <w:rsid w:val="008365F5"/>
    <w:rPr>
      <w:rFonts w:ascii="Arial" w:hAnsi="Arial"/>
      <w:b/>
      <w:bCs/>
      <w:i/>
      <w:iCs/>
      <w:spacing w:val="5"/>
    </w:rPr>
  </w:style>
  <w:style w:type="table" w:styleId="GridTable1Light">
    <w:name w:val="Grid Table 1 Light"/>
    <w:basedOn w:val="TableNormal"/>
    <w:uiPriority w:val="46"/>
    <w:rsid w:val="008365F5"/>
    <w:pPr>
      <w:spacing w:after="0" w:line="240" w:lineRule="auto"/>
    </w:pPr>
    <w:tblPr>
      <w:tblStyleRowBandSize w:val="1"/>
      <w:tblStyleColBandSize w:val="1"/>
      <w:tblBorders>
        <w:top w:val="single" w:sz="4" w:space="0" w:color="B5B5B7" w:themeColor="text1" w:themeTint="66"/>
        <w:left w:val="single" w:sz="4" w:space="0" w:color="B5B5B7" w:themeColor="text1" w:themeTint="66"/>
        <w:bottom w:val="single" w:sz="4" w:space="0" w:color="B5B5B7" w:themeColor="text1" w:themeTint="66"/>
        <w:right w:val="single" w:sz="4" w:space="0" w:color="B5B5B7" w:themeColor="text1" w:themeTint="66"/>
        <w:insideH w:val="single" w:sz="4" w:space="0" w:color="B5B5B7" w:themeColor="text1" w:themeTint="66"/>
        <w:insideV w:val="single" w:sz="4" w:space="0" w:color="B5B5B7" w:themeColor="text1" w:themeTint="66"/>
      </w:tblBorders>
    </w:tblPr>
    <w:tblStylePr w:type="firstRow">
      <w:rPr>
        <w:b/>
        <w:bCs/>
      </w:rPr>
      <w:tblPr/>
      <w:tcPr>
        <w:tcBorders>
          <w:bottom w:val="single" w:sz="12" w:space="0" w:color="909093" w:themeColor="text1" w:themeTint="99"/>
        </w:tcBorders>
      </w:tcPr>
    </w:tblStylePr>
    <w:tblStylePr w:type="lastRow">
      <w:rPr>
        <w:b/>
        <w:bCs/>
      </w:rPr>
      <w:tblPr/>
      <w:tcPr>
        <w:tcBorders>
          <w:top w:val="double" w:sz="2" w:space="0" w:color="909093"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8365F5"/>
    <w:pPr>
      <w:spacing w:after="0" w:line="240" w:lineRule="auto"/>
    </w:pPr>
    <w:tblPr>
      <w:tblStyleRowBandSize w:val="1"/>
      <w:tblStyleColBandSize w:val="1"/>
      <w:tblBorders>
        <w:top w:val="single" w:sz="2" w:space="0" w:color="A1CF9E" w:themeColor="accent3" w:themeTint="99"/>
        <w:bottom w:val="single" w:sz="2" w:space="0" w:color="A1CF9E" w:themeColor="accent3" w:themeTint="99"/>
        <w:insideH w:val="single" w:sz="2" w:space="0" w:color="A1CF9E" w:themeColor="accent3" w:themeTint="99"/>
        <w:insideV w:val="single" w:sz="2" w:space="0" w:color="A1CF9E" w:themeColor="accent3" w:themeTint="99"/>
      </w:tblBorders>
    </w:tblPr>
    <w:tblStylePr w:type="firstRow">
      <w:rPr>
        <w:b/>
        <w:bCs/>
      </w:rPr>
      <w:tblPr/>
      <w:tcPr>
        <w:tcBorders>
          <w:top w:val="nil"/>
          <w:bottom w:val="single" w:sz="12" w:space="0" w:color="A1CF9E" w:themeColor="accent3" w:themeTint="99"/>
          <w:insideH w:val="nil"/>
          <w:insideV w:val="nil"/>
        </w:tcBorders>
        <w:shd w:val="clear" w:color="auto" w:fill="FFFFFF" w:themeFill="background1"/>
      </w:tcPr>
    </w:tblStylePr>
    <w:tblStylePr w:type="lastRow">
      <w:rPr>
        <w:b/>
        <w:bCs/>
      </w:rPr>
      <w:tblPr/>
      <w:tcPr>
        <w:tcBorders>
          <w:top w:val="double" w:sz="2" w:space="0" w:color="A1CF9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FDE" w:themeFill="accent3" w:themeFillTint="33"/>
      </w:tcPr>
    </w:tblStylePr>
    <w:tblStylePr w:type="band1Horz">
      <w:tblPr/>
      <w:tcPr>
        <w:shd w:val="clear" w:color="auto" w:fill="DFEFDE" w:themeFill="accent3" w:themeFillTint="33"/>
      </w:tcPr>
    </w:tblStylePr>
  </w:style>
  <w:style w:type="table" w:styleId="GridTable5Dark">
    <w:name w:val="Grid Table 5 Dark"/>
    <w:basedOn w:val="TableNormal"/>
    <w:uiPriority w:val="50"/>
    <w:rsid w:val="008365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484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484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484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484A" w:themeFill="text1"/>
      </w:tcPr>
    </w:tblStylePr>
    <w:tblStylePr w:type="band1Vert">
      <w:tblPr/>
      <w:tcPr>
        <w:shd w:val="clear" w:color="auto" w:fill="B5B5B7" w:themeFill="text1" w:themeFillTint="66"/>
      </w:tcPr>
    </w:tblStylePr>
    <w:tblStylePr w:type="band1Horz">
      <w:tblPr/>
      <w:tcPr>
        <w:shd w:val="clear" w:color="auto" w:fill="B5B5B7" w:themeFill="text1" w:themeFillTint="66"/>
      </w:tcPr>
    </w:tblStylePr>
  </w:style>
  <w:style w:type="table" w:styleId="GridTable5Dark-Accent4">
    <w:name w:val="Grid Table 5 Dark Accent 4"/>
    <w:basedOn w:val="TableNormal"/>
    <w:uiPriority w:val="50"/>
    <w:rsid w:val="008365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20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20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20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20E" w:themeFill="accent4"/>
      </w:tcPr>
    </w:tblStylePr>
    <w:tblStylePr w:type="band1Vert">
      <w:tblPr/>
      <w:tcPr>
        <w:shd w:val="clear" w:color="auto" w:fill="FFE69E" w:themeFill="accent4" w:themeFillTint="66"/>
      </w:tcPr>
    </w:tblStylePr>
    <w:tblStylePr w:type="band1Horz">
      <w:tblPr/>
      <w:tcPr>
        <w:shd w:val="clear" w:color="auto" w:fill="FFE69E" w:themeFill="accent4" w:themeFillTint="66"/>
      </w:tcPr>
    </w:tblStylePr>
  </w:style>
  <w:style w:type="character" w:customStyle="1" w:styleId="Heading5Char">
    <w:name w:val="Heading 5 Char"/>
    <w:basedOn w:val="DefaultParagraphFont"/>
    <w:link w:val="Heading5"/>
    <w:uiPriority w:val="5"/>
    <w:rsid w:val="008365F5"/>
    <w:rPr>
      <w:rFonts w:asciiTheme="majorHAnsi" w:eastAsiaTheme="majorEastAsia" w:hAnsiTheme="majorHAnsi" w:cstheme="majorBidi"/>
      <w:bCs/>
      <w:iCs/>
      <w:color w:val="006FA1" w:themeColor="accent1"/>
      <w:sz w:val="24"/>
    </w:rPr>
  </w:style>
  <w:style w:type="character" w:styleId="IntenseEmphasis">
    <w:name w:val="Intense Emphasis"/>
    <w:basedOn w:val="DefaultParagraphFont"/>
    <w:uiPriority w:val="16"/>
    <w:qFormat/>
    <w:rsid w:val="008365F5"/>
    <w:rPr>
      <w:rFonts w:ascii="Arial" w:hAnsi="Arial"/>
      <w:b/>
      <w:i w:val="0"/>
      <w:iCs/>
      <w:noProof w:val="0"/>
      <w:color w:val="262626" w:themeColor="text2"/>
      <w:sz w:val="22"/>
      <w:lang w:val="en-US"/>
    </w:rPr>
  </w:style>
  <w:style w:type="character" w:styleId="IntenseReference">
    <w:name w:val="Intense Reference"/>
    <w:basedOn w:val="DefaultParagraphFont"/>
    <w:uiPriority w:val="32"/>
    <w:semiHidden/>
    <w:qFormat/>
    <w:rsid w:val="008365F5"/>
    <w:rPr>
      <w:rFonts w:ascii="Arial" w:hAnsi="Arial"/>
      <w:b/>
      <w:bCs/>
      <w:smallCaps/>
      <w:color w:val="006FA1" w:themeColor="accent1"/>
      <w:spacing w:val="5"/>
    </w:rPr>
  </w:style>
  <w:style w:type="table" w:styleId="ListTable1Light">
    <w:name w:val="List Table 1 Light"/>
    <w:basedOn w:val="TableNormal"/>
    <w:uiPriority w:val="46"/>
    <w:rsid w:val="008365F5"/>
    <w:pPr>
      <w:spacing w:after="0" w:line="240" w:lineRule="auto"/>
    </w:pPr>
    <w:tblPr>
      <w:tblStyleRowBandSize w:val="1"/>
      <w:tblStyleColBandSize w:val="1"/>
    </w:tblPr>
    <w:tblStylePr w:type="firstRow">
      <w:rPr>
        <w:b/>
        <w:bCs/>
      </w:rPr>
      <w:tblPr/>
      <w:tcPr>
        <w:tcBorders>
          <w:bottom w:val="single" w:sz="4" w:space="0" w:color="909093" w:themeColor="text1" w:themeTint="99"/>
        </w:tcBorders>
      </w:tcPr>
    </w:tblStylePr>
    <w:tblStylePr w:type="lastRow">
      <w:rPr>
        <w:b/>
        <w:bCs/>
      </w:rPr>
      <w:tblPr/>
      <w:tcPr>
        <w:tcBorders>
          <w:top w:val="single" w:sz="4" w:space="0" w:color="909093" w:themeColor="text1" w:themeTint="99"/>
        </w:tcBorders>
      </w:tcPr>
    </w:tblStylePr>
    <w:tblStylePr w:type="firstCol">
      <w:rPr>
        <w:b/>
        <w:bCs/>
      </w:rPr>
    </w:tblStylePr>
    <w:tblStylePr w:type="lastCol">
      <w:rPr>
        <w:b/>
        <w:bCs/>
      </w:rPr>
    </w:tblStylePr>
    <w:tblStylePr w:type="band1Vert">
      <w:tblPr/>
      <w:tcPr>
        <w:shd w:val="clear" w:color="auto" w:fill="DADADB" w:themeFill="text1" w:themeFillTint="33"/>
      </w:tcPr>
    </w:tblStylePr>
    <w:tblStylePr w:type="band1Horz">
      <w:tblPr/>
      <w:tcPr>
        <w:shd w:val="clear" w:color="auto" w:fill="DADADB" w:themeFill="text1" w:themeFillTint="33"/>
      </w:tcPr>
    </w:tblStylePr>
  </w:style>
  <w:style w:type="table" w:styleId="ListTable1Light-Accent5">
    <w:name w:val="List Table 1 Light Accent 5"/>
    <w:basedOn w:val="TableNormal"/>
    <w:uiPriority w:val="46"/>
    <w:rsid w:val="008365F5"/>
    <w:pPr>
      <w:spacing w:after="0" w:line="240" w:lineRule="auto"/>
    </w:pPr>
    <w:tblPr>
      <w:tblStyleRowBandSize w:val="1"/>
      <w:tblStyleColBandSize w:val="1"/>
    </w:tblPr>
    <w:tblStylePr w:type="firstRow">
      <w:rPr>
        <w:b/>
        <w:bCs/>
      </w:rPr>
      <w:tblPr/>
      <w:tcPr>
        <w:tcBorders>
          <w:bottom w:val="single" w:sz="4" w:space="0" w:color="918DBD" w:themeColor="accent5" w:themeTint="99"/>
        </w:tcBorders>
      </w:tcPr>
    </w:tblStylePr>
    <w:tblStylePr w:type="lastRow">
      <w:rPr>
        <w:b/>
        <w:bCs/>
      </w:rPr>
      <w:tblPr/>
      <w:tcPr>
        <w:tcBorders>
          <w:top w:val="single" w:sz="4" w:space="0" w:color="918DBD" w:themeColor="accent5" w:themeTint="99"/>
        </w:tcBorders>
      </w:tcPr>
    </w:tblStylePr>
    <w:tblStylePr w:type="firstCol">
      <w:rPr>
        <w:b/>
        <w:bCs/>
      </w:rPr>
    </w:tblStylePr>
    <w:tblStylePr w:type="lastCol">
      <w:rPr>
        <w:b/>
        <w:bCs/>
      </w:rPr>
    </w:tblStylePr>
    <w:tblStylePr w:type="band1Vert">
      <w:tblPr/>
      <w:tcPr>
        <w:shd w:val="clear" w:color="auto" w:fill="DAD9E9" w:themeFill="accent5" w:themeFillTint="33"/>
      </w:tcPr>
    </w:tblStylePr>
    <w:tblStylePr w:type="band1Horz">
      <w:tblPr/>
      <w:tcPr>
        <w:shd w:val="clear" w:color="auto" w:fill="DAD9E9" w:themeFill="accent5" w:themeFillTint="33"/>
      </w:tcPr>
    </w:tblStylePr>
  </w:style>
  <w:style w:type="character" w:styleId="Mention">
    <w:name w:val="Mention"/>
    <w:basedOn w:val="DefaultParagraphFont"/>
    <w:uiPriority w:val="99"/>
    <w:unhideWhenUsed/>
    <w:rsid w:val="008365F5"/>
    <w:rPr>
      <w:color w:val="2B579A"/>
      <w:shd w:val="clear" w:color="auto" w:fill="E6E6E6"/>
    </w:rPr>
  </w:style>
  <w:style w:type="table" w:customStyle="1" w:styleId="NoColorCentered">
    <w:name w:val="No Color (Centered)"/>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48484A"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48484A"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8365F5"/>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48484A" w:themeColor="text1"/>
        </w:tcBorders>
      </w:tcPr>
    </w:tblStylePr>
    <w:tblStylePr w:type="firstCol">
      <w:pPr>
        <w:jc w:val="left"/>
      </w:pPr>
    </w:tblStylePr>
  </w:style>
  <w:style w:type="table" w:customStyle="1" w:styleId="OrangeLineRight">
    <w:name w:val="Orange Line (Right)"/>
    <w:basedOn w:val="TableNormal"/>
    <w:uiPriority w:val="99"/>
    <w:rsid w:val="008365F5"/>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F68B1F" w:themeColor="background2"/>
        </w:tcBorders>
      </w:tcPr>
    </w:tblStylePr>
    <w:tblStylePr w:type="firstCol">
      <w:pPr>
        <w:jc w:val="left"/>
      </w:pPr>
    </w:tblStylePr>
  </w:style>
  <w:style w:type="table" w:customStyle="1" w:styleId="OrangeLineCentered">
    <w:name w:val="Orange Line (Centered)"/>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2" w:space="0" w:color="48484A" w:themeColor="text1"/>
      </w:tblBorders>
    </w:tblPr>
    <w:tcPr>
      <w:vAlign w:val="center"/>
    </w:tcPr>
    <w:tblStylePr w:type="firstRow">
      <w:pPr>
        <w:wordWrap/>
        <w:contextualSpacing w:val="0"/>
      </w:pPr>
      <w:rPr>
        <w:rFonts w:ascii="Arial" w:hAnsi="Arial"/>
        <w:b/>
        <w:caps/>
        <w:smallCaps w:val="0"/>
        <w:color w:val="48484A" w:themeColor="text1"/>
        <w:sz w:val="20"/>
      </w:rPr>
      <w:tblPr/>
      <w:tcPr>
        <w:tcBorders>
          <w:top w:val="nil"/>
          <w:left w:val="nil"/>
          <w:bottom w:val="single" w:sz="18" w:space="0" w:color="F68B1F" w:themeColor="background2"/>
          <w:right w:val="nil"/>
          <w:insideH w:val="nil"/>
          <w:insideV w:val="nil"/>
        </w:tcBorders>
      </w:tcPr>
    </w:tblStylePr>
  </w:style>
  <w:style w:type="table" w:customStyle="1" w:styleId="OrangeLineFirstLeft">
    <w:name w:val="Orange Line (First Left)"/>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F68B1F" w:themeColor="background2"/>
        </w:tcBorders>
      </w:tcPr>
    </w:tblStylePr>
    <w:tblStylePr w:type="firstCol">
      <w:pPr>
        <w:jc w:val="left"/>
      </w:pPr>
    </w:tblStylePr>
  </w:style>
  <w:style w:type="table" w:customStyle="1" w:styleId="OrangeCentered">
    <w:name w:val="Orange (Centered)"/>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F68B1F" w:themeFill="background2"/>
      </w:tcPr>
    </w:tblStylePr>
  </w:style>
  <w:style w:type="table" w:customStyle="1" w:styleId="OrangeFirstColumnLeft">
    <w:name w:val="Orange (First Column Left)"/>
    <w:basedOn w:val="TableNormal"/>
    <w:uiPriority w:val="99"/>
    <w:rsid w:val="008365F5"/>
    <w:pPr>
      <w:spacing w:after="0" w:line="240" w:lineRule="auto"/>
      <w:jc w:val="center"/>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F68B1F" w:themeFill="background2"/>
      </w:tcPr>
    </w:tblStylePr>
    <w:tblStylePr w:type="firstCol">
      <w:pPr>
        <w:jc w:val="left"/>
      </w:pPr>
    </w:tblStylePr>
  </w:style>
  <w:style w:type="table" w:customStyle="1" w:styleId="OrangeRight">
    <w:name w:val="Orange (Right)"/>
    <w:basedOn w:val="TableNormal"/>
    <w:uiPriority w:val="99"/>
    <w:rsid w:val="008365F5"/>
    <w:pPr>
      <w:spacing w:after="0" w:line="240" w:lineRule="auto"/>
      <w:jc w:val="right"/>
    </w:pPr>
    <w:rPr>
      <w:rFonts w:ascii="Arial" w:hAnsi="Arial"/>
      <w:sz w:val="20"/>
    </w:rPr>
    <w:tblPr>
      <w:tblBorders>
        <w:bottom w:val="single" w:sz="4" w:space="0" w:color="48484A" w:themeColor="text1"/>
        <w:insideH w:val="single" w:sz="4" w:space="0" w:color="48484A"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F68B1F" w:themeFill="background2"/>
      </w:tcPr>
    </w:tblStylePr>
    <w:tblStylePr w:type="firstCol">
      <w:pPr>
        <w:jc w:val="left"/>
      </w:pPr>
    </w:tblStylePr>
  </w:style>
  <w:style w:type="table" w:styleId="PlainTable1">
    <w:name w:val="Plain Table 1"/>
    <w:basedOn w:val="TableNormal"/>
    <w:uiPriority w:val="41"/>
    <w:rsid w:val="008365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8365F5"/>
    <w:pPr>
      <w:spacing w:before="0" w:line="240" w:lineRule="auto"/>
    </w:pPr>
    <w:rPr>
      <w:i/>
      <w:sz w:val="18"/>
      <w:szCs w:val="18"/>
    </w:rPr>
  </w:style>
  <w:style w:type="character" w:styleId="SubtleReference">
    <w:name w:val="Subtle Reference"/>
    <w:basedOn w:val="DefaultParagraphFont"/>
    <w:uiPriority w:val="31"/>
    <w:semiHidden/>
    <w:qFormat/>
    <w:rsid w:val="008365F5"/>
    <w:rPr>
      <w:rFonts w:ascii="Arial" w:hAnsi="Arial"/>
      <w:smallCaps/>
      <w:color w:val="87878A" w:themeColor="text1" w:themeTint="A5"/>
    </w:rPr>
  </w:style>
  <w:style w:type="table" w:styleId="TableGridLight">
    <w:name w:val="Grid Table Light"/>
    <w:basedOn w:val="TableNormal"/>
    <w:uiPriority w:val="40"/>
    <w:rsid w:val="008365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8365F5"/>
    <w:rPr>
      <w:sz w:val="16"/>
      <w:szCs w:val="16"/>
    </w:rPr>
  </w:style>
  <w:style w:type="paragraph" w:styleId="CommentText">
    <w:name w:val="annotation text"/>
    <w:basedOn w:val="Normal"/>
    <w:link w:val="CommentTextChar"/>
    <w:uiPriority w:val="99"/>
    <w:rsid w:val="008365F5"/>
    <w:rPr>
      <w:sz w:val="20"/>
      <w:szCs w:val="20"/>
    </w:rPr>
  </w:style>
  <w:style w:type="character" w:customStyle="1" w:styleId="CommentTextChar">
    <w:name w:val="Comment Text Char"/>
    <w:basedOn w:val="DefaultParagraphFont"/>
    <w:link w:val="CommentText"/>
    <w:uiPriority w:val="99"/>
    <w:rsid w:val="008365F5"/>
    <w:rPr>
      <w:sz w:val="20"/>
      <w:szCs w:val="20"/>
    </w:rPr>
  </w:style>
  <w:style w:type="paragraph" w:styleId="CommentSubject">
    <w:name w:val="annotation subject"/>
    <w:basedOn w:val="CommentText"/>
    <w:next w:val="CommentText"/>
    <w:link w:val="CommentSubjectChar"/>
    <w:uiPriority w:val="99"/>
    <w:semiHidden/>
    <w:unhideWhenUsed/>
    <w:rsid w:val="008365F5"/>
    <w:rPr>
      <w:b/>
      <w:bCs/>
    </w:rPr>
  </w:style>
  <w:style w:type="character" w:customStyle="1" w:styleId="CommentSubjectChar">
    <w:name w:val="Comment Subject Char"/>
    <w:basedOn w:val="CommentTextChar"/>
    <w:link w:val="CommentSubject"/>
    <w:uiPriority w:val="99"/>
    <w:semiHidden/>
    <w:rsid w:val="008365F5"/>
    <w:rPr>
      <w:b/>
      <w:bCs/>
      <w:sz w:val="20"/>
      <w:szCs w:val="20"/>
    </w:rPr>
  </w:style>
  <w:style w:type="paragraph" w:customStyle="1" w:styleId="PullQuote">
    <w:name w:val="Pull Quote"/>
    <w:basedOn w:val="BodyParagraph"/>
    <w:uiPriority w:val="54"/>
    <w:qFormat/>
    <w:rsid w:val="008365F5"/>
    <w:pPr>
      <w:pBdr>
        <w:top w:val="single" w:sz="12" w:space="1" w:color="006FA1" w:themeColor="accent1"/>
        <w:bottom w:val="single" w:sz="12" w:space="1" w:color="006FA1" w:themeColor="accent1"/>
      </w:pBdr>
      <w:spacing w:before="240" w:after="240"/>
      <w:ind w:left="1800" w:right="1800"/>
    </w:pPr>
    <w:rPr>
      <w:i/>
      <w:color w:val="5C5C5C" w:themeColor="text2" w:themeTint="BF"/>
      <w:sz w:val="24"/>
    </w:rPr>
  </w:style>
  <w:style w:type="paragraph" w:customStyle="1" w:styleId="DetailedCaptionDescriptionincludebelowimagesourcenote">
    <w:name w:val="Detailed Caption Description (include below image/source note)"/>
    <w:basedOn w:val="BodyParagraph"/>
    <w:uiPriority w:val="19"/>
    <w:qFormat/>
    <w:rsid w:val="008365F5"/>
    <w:pPr>
      <w:spacing w:before="0" w:after="240" w:line="240" w:lineRule="auto"/>
      <w:jc w:val="center"/>
    </w:pPr>
    <w:rPr>
      <w:i/>
      <w:sz w:val="18"/>
    </w:rPr>
  </w:style>
  <w:style w:type="table" w:styleId="GridTable1Light-Accent1">
    <w:name w:val="Grid Table 1 Light Accent 1"/>
    <w:basedOn w:val="TableNormal"/>
    <w:uiPriority w:val="46"/>
    <w:rsid w:val="008365F5"/>
    <w:pPr>
      <w:spacing w:after="0" w:line="240" w:lineRule="auto"/>
    </w:pPr>
    <w:tblPr>
      <w:tblStyleRowBandSize w:val="1"/>
      <w:tblStyleColBandSize w:val="1"/>
      <w:tblBorders>
        <w:top w:val="single" w:sz="4" w:space="0" w:color="73D3FF" w:themeColor="accent1" w:themeTint="66"/>
        <w:left w:val="single" w:sz="4" w:space="0" w:color="73D3FF" w:themeColor="accent1" w:themeTint="66"/>
        <w:bottom w:val="single" w:sz="4" w:space="0" w:color="73D3FF" w:themeColor="accent1" w:themeTint="66"/>
        <w:right w:val="single" w:sz="4" w:space="0" w:color="73D3FF" w:themeColor="accent1" w:themeTint="66"/>
        <w:insideH w:val="single" w:sz="4" w:space="0" w:color="73D3FF" w:themeColor="accent1" w:themeTint="66"/>
        <w:insideV w:val="single" w:sz="4" w:space="0" w:color="73D3FF" w:themeColor="accent1" w:themeTint="66"/>
      </w:tblBorders>
    </w:tblPr>
    <w:tblStylePr w:type="firstRow">
      <w:rPr>
        <w:b/>
        <w:bCs/>
      </w:rPr>
      <w:tblPr/>
      <w:tcPr>
        <w:tcBorders>
          <w:bottom w:val="single" w:sz="12" w:space="0" w:color="2DBDFF" w:themeColor="accent1" w:themeTint="99"/>
        </w:tcBorders>
      </w:tcPr>
    </w:tblStylePr>
    <w:tblStylePr w:type="lastRow">
      <w:rPr>
        <w:b/>
        <w:bCs/>
      </w:rPr>
      <w:tblPr/>
      <w:tcPr>
        <w:tcBorders>
          <w:top w:val="double" w:sz="2" w:space="0" w:color="2DBDFF" w:themeColor="accent1" w:themeTint="99"/>
        </w:tcBorders>
      </w:tcPr>
    </w:tblStylePr>
    <w:tblStylePr w:type="firstCol">
      <w:rPr>
        <w:b/>
        <w:bCs/>
      </w:rPr>
    </w:tblStylePr>
    <w:tblStylePr w:type="lastCol">
      <w:rPr>
        <w:b/>
        <w:bCs/>
      </w:rPr>
    </w:tblStylePr>
  </w:style>
  <w:style w:type="paragraph" w:customStyle="1" w:styleId="TableBody">
    <w:name w:val="Table Body"/>
    <w:basedOn w:val="Normal"/>
    <w:uiPriority w:val="14"/>
    <w:qFormat/>
    <w:rsid w:val="008365F5"/>
    <w:rPr>
      <w:sz w:val="18"/>
    </w:rPr>
  </w:style>
  <w:style w:type="paragraph" w:customStyle="1" w:styleId="TableHeadingGray">
    <w:name w:val="Table Heading (Gray)"/>
    <w:basedOn w:val="Normal"/>
    <w:uiPriority w:val="13"/>
    <w:qFormat/>
    <w:rsid w:val="008365F5"/>
    <w:pPr>
      <w:jc w:val="center"/>
    </w:pPr>
    <w:rPr>
      <w:rFonts w:cs="Arial"/>
      <w:b/>
      <w:caps/>
      <w:sz w:val="18"/>
      <w:szCs w:val="18"/>
    </w:rPr>
  </w:style>
  <w:style w:type="paragraph" w:customStyle="1" w:styleId="TableHeadingWhite">
    <w:name w:val="Table Heading (White)"/>
    <w:basedOn w:val="TableHeadingGray"/>
    <w:uiPriority w:val="12"/>
    <w:qFormat/>
    <w:rsid w:val="008365F5"/>
    <w:rPr>
      <w:color w:val="F68B1F" w:themeColor="background2"/>
    </w:rPr>
  </w:style>
  <w:style w:type="paragraph" w:customStyle="1" w:styleId="TableTasksOrange">
    <w:name w:val="Table Tasks (Orange)"/>
    <w:basedOn w:val="Normal"/>
    <w:uiPriority w:val="36"/>
    <w:qFormat/>
    <w:rsid w:val="008365F5"/>
    <w:rPr>
      <w:rFonts w:cs="Arial"/>
      <w:b/>
      <w:color w:val="FFFFFF" w:themeColor="background1"/>
      <w:sz w:val="18"/>
      <w:szCs w:val="18"/>
    </w:rPr>
  </w:style>
  <w:style w:type="paragraph" w:styleId="NormalWeb">
    <w:name w:val="Normal (Web)"/>
    <w:basedOn w:val="Normal"/>
    <w:uiPriority w:val="99"/>
    <w:semiHidden/>
    <w:unhideWhenUsed/>
    <w:rsid w:val="002A62B3"/>
    <w:pPr>
      <w:spacing w:before="100" w:beforeAutospacing="1" w:after="100" w:afterAutospacing="1"/>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0B68B1"/>
    <w:rPr>
      <w:color w:val="605E5C"/>
      <w:shd w:val="clear" w:color="auto" w:fill="E1DFDD"/>
    </w:rPr>
  </w:style>
  <w:style w:type="character" w:styleId="FollowedHyperlink">
    <w:name w:val="FollowedHyperlink"/>
    <w:basedOn w:val="DefaultParagraphFont"/>
    <w:uiPriority w:val="99"/>
    <w:semiHidden/>
    <w:unhideWhenUsed/>
    <w:rsid w:val="002111C4"/>
    <w:rPr>
      <w:color w:val="524D85" w:themeColor="followedHyperlink"/>
      <w:u w:val="single"/>
    </w:rPr>
  </w:style>
  <w:style w:type="paragraph" w:styleId="Revision">
    <w:name w:val="Revision"/>
    <w:hidden/>
    <w:uiPriority w:val="99"/>
    <w:semiHidden/>
    <w:rsid w:val="00FA7B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4614">
      <w:bodyDiv w:val="1"/>
      <w:marLeft w:val="0"/>
      <w:marRight w:val="0"/>
      <w:marTop w:val="0"/>
      <w:marBottom w:val="0"/>
      <w:divBdr>
        <w:top w:val="none" w:sz="0" w:space="0" w:color="auto"/>
        <w:left w:val="none" w:sz="0" w:space="0" w:color="auto"/>
        <w:bottom w:val="none" w:sz="0" w:space="0" w:color="auto"/>
        <w:right w:val="none" w:sz="0" w:space="0" w:color="auto"/>
      </w:divBdr>
    </w:div>
    <w:div w:id="186600390">
      <w:bodyDiv w:val="1"/>
      <w:marLeft w:val="0"/>
      <w:marRight w:val="0"/>
      <w:marTop w:val="0"/>
      <w:marBottom w:val="0"/>
      <w:divBdr>
        <w:top w:val="none" w:sz="0" w:space="0" w:color="auto"/>
        <w:left w:val="none" w:sz="0" w:space="0" w:color="auto"/>
        <w:bottom w:val="none" w:sz="0" w:space="0" w:color="auto"/>
        <w:right w:val="none" w:sz="0" w:space="0" w:color="auto"/>
      </w:divBdr>
    </w:div>
    <w:div w:id="413939806">
      <w:bodyDiv w:val="1"/>
      <w:marLeft w:val="0"/>
      <w:marRight w:val="0"/>
      <w:marTop w:val="0"/>
      <w:marBottom w:val="0"/>
      <w:divBdr>
        <w:top w:val="none" w:sz="0" w:space="0" w:color="auto"/>
        <w:left w:val="none" w:sz="0" w:space="0" w:color="auto"/>
        <w:bottom w:val="none" w:sz="0" w:space="0" w:color="auto"/>
        <w:right w:val="none" w:sz="0" w:space="0" w:color="auto"/>
      </w:divBdr>
    </w:div>
    <w:div w:id="528182345">
      <w:bodyDiv w:val="1"/>
      <w:marLeft w:val="0"/>
      <w:marRight w:val="0"/>
      <w:marTop w:val="0"/>
      <w:marBottom w:val="0"/>
      <w:divBdr>
        <w:top w:val="none" w:sz="0" w:space="0" w:color="auto"/>
        <w:left w:val="none" w:sz="0" w:space="0" w:color="auto"/>
        <w:bottom w:val="none" w:sz="0" w:space="0" w:color="auto"/>
        <w:right w:val="none" w:sz="0" w:space="0" w:color="auto"/>
      </w:divBdr>
    </w:div>
    <w:div w:id="586891034">
      <w:bodyDiv w:val="1"/>
      <w:marLeft w:val="0"/>
      <w:marRight w:val="0"/>
      <w:marTop w:val="0"/>
      <w:marBottom w:val="0"/>
      <w:divBdr>
        <w:top w:val="none" w:sz="0" w:space="0" w:color="auto"/>
        <w:left w:val="none" w:sz="0" w:space="0" w:color="auto"/>
        <w:bottom w:val="none" w:sz="0" w:space="0" w:color="auto"/>
        <w:right w:val="none" w:sz="0" w:space="0" w:color="auto"/>
      </w:divBdr>
    </w:div>
    <w:div w:id="647170761">
      <w:bodyDiv w:val="1"/>
      <w:marLeft w:val="0"/>
      <w:marRight w:val="0"/>
      <w:marTop w:val="0"/>
      <w:marBottom w:val="0"/>
      <w:divBdr>
        <w:top w:val="none" w:sz="0" w:space="0" w:color="auto"/>
        <w:left w:val="none" w:sz="0" w:space="0" w:color="auto"/>
        <w:bottom w:val="none" w:sz="0" w:space="0" w:color="auto"/>
        <w:right w:val="none" w:sz="0" w:space="0" w:color="auto"/>
      </w:divBdr>
    </w:div>
    <w:div w:id="859011426">
      <w:bodyDiv w:val="1"/>
      <w:marLeft w:val="0"/>
      <w:marRight w:val="0"/>
      <w:marTop w:val="0"/>
      <w:marBottom w:val="0"/>
      <w:divBdr>
        <w:top w:val="none" w:sz="0" w:space="0" w:color="auto"/>
        <w:left w:val="none" w:sz="0" w:space="0" w:color="auto"/>
        <w:bottom w:val="none" w:sz="0" w:space="0" w:color="auto"/>
        <w:right w:val="none" w:sz="0" w:space="0" w:color="auto"/>
      </w:divBdr>
    </w:div>
    <w:div w:id="1041055202">
      <w:bodyDiv w:val="1"/>
      <w:marLeft w:val="0"/>
      <w:marRight w:val="0"/>
      <w:marTop w:val="0"/>
      <w:marBottom w:val="0"/>
      <w:divBdr>
        <w:top w:val="none" w:sz="0" w:space="0" w:color="auto"/>
        <w:left w:val="none" w:sz="0" w:space="0" w:color="auto"/>
        <w:bottom w:val="none" w:sz="0" w:space="0" w:color="auto"/>
        <w:right w:val="none" w:sz="0" w:space="0" w:color="auto"/>
      </w:divBdr>
    </w:div>
    <w:div w:id="1047990664">
      <w:bodyDiv w:val="1"/>
      <w:marLeft w:val="0"/>
      <w:marRight w:val="0"/>
      <w:marTop w:val="0"/>
      <w:marBottom w:val="0"/>
      <w:divBdr>
        <w:top w:val="none" w:sz="0" w:space="0" w:color="auto"/>
        <w:left w:val="none" w:sz="0" w:space="0" w:color="auto"/>
        <w:bottom w:val="none" w:sz="0" w:space="0" w:color="auto"/>
        <w:right w:val="none" w:sz="0" w:space="0" w:color="auto"/>
      </w:divBdr>
    </w:div>
    <w:div w:id="1534608846">
      <w:bodyDiv w:val="1"/>
      <w:marLeft w:val="0"/>
      <w:marRight w:val="0"/>
      <w:marTop w:val="0"/>
      <w:marBottom w:val="0"/>
      <w:divBdr>
        <w:top w:val="none" w:sz="0" w:space="0" w:color="auto"/>
        <w:left w:val="none" w:sz="0" w:space="0" w:color="auto"/>
        <w:bottom w:val="none" w:sz="0" w:space="0" w:color="auto"/>
        <w:right w:val="none" w:sz="0" w:space="0" w:color="auto"/>
      </w:divBdr>
    </w:div>
    <w:div w:id="1571888328">
      <w:bodyDiv w:val="1"/>
      <w:marLeft w:val="0"/>
      <w:marRight w:val="0"/>
      <w:marTop w:val="0"/>
      <w:marBottom w:val="0"/>
      <w:divBdr>
        <w:top w:val="none" w:sz="0" w:space="0" w:color="auto"/>
        <w:left w:val="none" w:sz="0" w:space="0" w:color="auto"/>
        <w:bottom w:val="none" w:sz="0" w:space="0" w:color="auto"/>
        <w:right w:val="none" w:sz="0" w:space="0" w:color="auto"/>
      </w:divBdr>
    </w:div>
    <w:div w:id="1588035027">
      <w:bodyDiv w:val="1"/>
      <w:marLeft w:val="0"/>
      <w:marRight w:val="0"/>
      <w:marTop w:val="0"/>
      <w:marBottom w:val="0"/>
      <w:divBdr>
        <w:top w:val="none" w:sz="0" w:space="0" w:color="auto"/>
        <w:left w:val="none" w:sz="0" w:space="0" w:color="auto"/>
        <w:bottom w:val="none" w:sz="0" w:space="0" w:color="auto"/>
        <w:right w:val="none" w:sz="0" w:space="0" w:color="auto"/>
      </w:divBdr>
    </w:div>
    <w:div w:id="1642927343">
      <w:bodyDiv w:val="1"/>
      <w:marLeft w:val="0"/>
      <w:marRight w:val="0"/>
      <w:marTop w:val="0"/>
      <w:marBottom w:val="0"/>
      <w:divBdr>
        <w:top w:val="none" w:sz="0" w:space="0" w:color="auto"/>
        <w:left w:val="none" w:sz="0" w:space="0" w:color="auto"/>
        <w:bottom w:val="none" w:sz="0" w:space="0" w:color="auto"/>
        <w:right w:val="none" w:sz="0" w:space="0" w:color="auto"/>
      </w:divBdr>
    </w:div>
    <w:div w:id="189164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yperlink" Target="https://orscenplg.github.io/VEWiki/index.html" TargetMode="External"/><Relationship Id="rId39" Type="http://schemas.openxmlformats.org/officeDocument/2006/relationships/image" Target="media/image13.jpe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public.tableau.com/app/profile/charles.baber/viz/BMC02012025_v3_11/Dashboard?publish=yes" TargetMode="External"/><Relationship Id="rId41" Type="http://schemas.openxmlformats.org/officeDocument/2006/relationships/hyperlink" Target="https://planningtools.transportation.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rsginc.shinyapps.io/bmc_input/" TargetMode="External"/><Relationship Id="rId32" Type="http://schemas.openxmlformats.org/officeDocument/2006/relationships/footer" Target="footer4.xml"/><Relationship Id="rId37" Type="http://schemas.openxmlformats.org/officeDocument/2006/relationships/hyperlink" Target="https://rsginc.shinyapps.io/CCRPC_HH_Explorer/" TargetMode="External"/><Relationship Id="rId40"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visioneval.github.io/docs/"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jpg"/><Relationship Id="rId27" Type="http://schemas.openxmlformats.org/officeDocument/2006/relationships/image" Target="media/image8.png"/><Relationship Id="rId30" Type="http://schemas.openxmlformats.org/officeDocument/2006/relationships/header" Target="header5.xml"/><Relationship Id="rId35" Type="http://schemas.openxmlformats.org/officeDocument/2006/relationships/image" Target="media/image12.jpeg"/><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hyperlink" Target="https://www.youtube.com/watch?v=liXtldO2L-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47972D0D3F440D9DEA3301FAD038C5"/>
        <w:category>
          <w:name w:val="General"/>
          <w:gallery w:val="placeholder"/>
        </w:category>
        <w:types>
          <w:type w:val="bbPlcHdr"/>
        </w:types>
        <w:behaviors>
          <w:behavior w:val="content"/>
        </w:behaviors>
        <w:guid w:val="{F77997C2-B810-4E8A-B35F-D41E507ED1BD}"/>
      </w:docPartPr>
      <w:docPartBody>
        <w:p w:rsidR="00253414" w:rsidRDefault="00253414">
          <w:pPr>
            <w:pStyle w:val="3847972D0D3F440D9DEA3301FAD038C5"/>
          </w:pPr>
          <w:r w:rsidRPr="0048555F">
            <w:rPr>
              <w:rStyle w:val="PlaceholderText"/>
            </w:rPr>
            <w:t>Choose a building block.</w:t>
          </w:r>
        </w:p>
      </w:docPartBody>
    </w:docPart>
    <w:docPart>
      <w:docPartPr>
        <w:name w:val="F18F5F3761744941863AD6365C9678D1"/>
        <w:category>
          <w:name w:val="General"/>
          <w:gallery w:val="placeholder"/>
        </w:category>
        <w:types>
          <w:type w:val="bbPlcHdr"/>
        </w:types>
        <w:behaviors>
          <w:behavior w:val="content"/>
        </w:behaviors>
        <w:guid w:val="{3808EB0E-2D78-4342-B19C-3DA40AA87986}"/>
      </w:docPartPr>
      <w:docPartBody>
        <w:p w:rsidR="00253414" w:rsidRDefault="00253414">
          <w:pPr>
            <w:pStyle w:val="F18F5F3761744941863AD6365C9678D1"/>
          </w:pPr>
          <w:r w:rsidRPr="007B2671">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GPGothicE">
    <w:charset w:val="80"/>
    <w:family w:val="swiss"/>
    <w:pitch w:val="variable"/>
    <w:sig w:usb0="E00002FF" w:usb1="2AC7EDFE" w:usb2="00000012" w:usb3="00000000" w:csb0="0002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14"/>
    <w:rsid w:val="0001580B"/>
    <w:rsid w:val="00252334"/>
    <w:rsid w:val="00253414"/>
    <w:rsid w:val="00585A04"/>
    <w:rsid w:val="00585AB7"/>
    <w:rsid w:val="00662665"/>
    <w:rsid w:val="007E524C"/>
    <w:rsid w:val="00974D2B"/>
    <w:rsid w:val="00A547AB"/>
    <w:rsid w:val="00B31CA0"/>
    <w:rsid w:val="00B47B2A"/>
    <w:rsid w:val="00D36C52"/>
    <w:rsid w:val="00DB6E48"/>
    <w:rsid w:val="00F84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847972D0D3F440D9DEA3301FAD038C5">
    <w:name w:val="3847972D0D3F440D9DEA3301FAD038C5"/>
  </w:style>
  <w:style w:type="paragraph" w:customStyle="1" w:styleId="F18F5F3761744941863AD6365C9678D1">
    <w:name w:val="F18F5F3761744941863AD6365C9678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SG">
      <a:dk1>
        <a:srgbClr val="48484A"/>
      </a:dk1>
      <a:lt1>
        <a:srgbClr val="FFFFFF"/>
      </a:lt1>
      <a:dk2>
        <a:srgbClr val="262626"/>
      </a:dk2>
      <a:lt2>
        <a:srgbClr val="F68B1F"/>
      </a:lt2>
      <a:accent1>
        <a:srgbClr val="006FA1"/>
      </a:accent1>
      <a:accent2>
        <a:srgbClr val="75BEE9"/>
      </a:accent2>
      <a:accent3>
        <a:srgbClr val="63AF5E"/>
      </a:accent3>
      <a:accent4>
        <a:srgbClr val="FFC20E"/>
      </a:accent4>
      <a:accent5>
        <a:srgbClr val="524D85"/>
      </a:accent5>
      <a:accent6>
        <a:srgbClr val="BA1222"/>
      </a:accent6>
      <a:hlink>
        <a:srgbClr val="48484A"/>
      </a:hlink>
      <a:folHlink>
        <a:srgbClr val="524D85"/>
      </a:folHlink>
    </a:clrScheme>
    <a:fontScheme name="RS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2025-04-22T00:00:00</PublishDate>
  <Abstract>RFP No.</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83192E243B06448FAEAAC77255F256" ma:contentTypeVersion="21" ma:contentTypeDescription="Create a new document." ma:contentTypeScope="" ma:versionID="ad048555b86b33fe0836f1daca7d6087">
  <xsd:schema xmlns:xsd="http://www.w3.org/2001/XMLSchema" xmlns:xs="http://www.w3.org/2001/XMLSchema" xmlns:p="http://schemas.microsoft.com/office/2006/metadata/properties" xmlns:ns1="http://schemas.microsoft.com/sharepoint/v3" xmlns:ns2="3b0b7883-d909-4fd3-9b55-7b9eba4e8fcf" xmlns:ns3="c668f435-839b-411d-a3d8-c3f5a3c01a6c" targetNamespace="http://schemas.microsoft.com/office/2006/metadata/properties" ma:root="true" ma:fieldsID="735a956778028e5019c4903b3521e9a2" ns1:_="" ns2:_="" ns3:_="">
    <xsd:import namespace="http://schemas.microsoft.com/sharepoint/v3"/>
    <xsd:import namespace="3b0b7883-d909-4fd3-9b55-7b9eba4e8fcf"/>
    <xsd:import namespace="c668f435-839b-411d-a3d8-c3f5a3c01a6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0b7883-d909-4fd3-9b55-7b9eba4e8f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aa343673-df56-4e83-82df-4ca1058dd1d5}" ma:internalName="TaxCatchAll" ma:showField="CatchAllData" ma:web="3b0b7883-d909-4fd3-9b55-7b9eba4e8fc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68f435-839b-411d-a3d8-c3f5a3c01a6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770257-8aa5-473d-8b97-0f0439c117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b0b7883-d909-4fd3-9b55-7b9eba4e8fcf"/>
    <_ip_UnifiedCompliancePolicyProperties xmlns="http://schemas.microsoft.com/sharepoint/v3" xsi:nil="true"/>
    <lcf76f155ced4ddcb4097134ff3c332f xmlns="c668f435-839b-411d-a3d8-c3f5a3c01a6c">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D1F9EE-A892-40CB-9939-4395F9B56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0b7883-d909-4fd3-9b55-7b9eba4e8fcf"/>
    <ds:schemaRef ds:uri="c668f435-839b-411d-a3d8-c3f5a3c01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55ADE5-F38A-4238-AAAE-892D17B11509}">
  <ds:schemaRefs>
    <ds:schemaRef ds:uri="http://schemas.microsoft.com/sharepoint/v3/contenttype/forms"/>
  </ds:schemaRefs>
</ds:datastoreItem>
</file>

<file path=customXml/itemProps4.xml><?xml version="1.0" encoding="utf-8"?>
<ds:datastoreItem xmlns:ds="http://schemas.openxmlformats.org/officeDocument/2006/customXml" ds:itemID="{B4BD371A-1E21-4A31-B6BD-7E1DC4645BA1}">
  <ds:schemaRefs>
    <ds:schemaRef ds:uri="http://schemas.microsoft.com/office/2006/metadata/properties"/>
    <ds:schemaRef ds:uri="http://schemas.microsoft.com/office/infopath/2007/PartnerControls"/>
    <ds:schemaRef ds:uri="http://schemas.microsoft.com/sharepoint/v3"/>
    <ds:schemaRef ds:uri="3b0b7883-d909-4fd3-9b55-7b9eba4e8fcf"/>
    <ds:schemaRef ds:uri="c668f435-839b-411d-a3d8-c3f5a3c01a6c"/>
  </ds:schemaRefs>
</ds:datastoreItem>
</file>

<file path=customXml/itemProps5.xml><?xml version="1.0" encoding="utf-8"?>
<ds:datastoreItem xmlns:ds="http://schemas.openxmlformats.org/officeDocument/2006/customXml" ds:itemID="{F527A58E-EEC1-4538-8D70-B1463799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24</Pages>
  <Words>6383</Words>
  <Characters>36385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Valley-Wide VisionEval Model</vt:lpstr>
    </vt:vector>
  </TitlesOfParts>
  <Company>Fresno COG</Company>
  <LinksUpToDate>false</LinksUpToDate>
  <CharactersWithSpaces>42683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Valley-Wide VisionEval Model</dc:title>
  <dc:creator>Jonathan Slason</dc:creator>
  <cp:lastModifiedBy>Santosh Bhattarai</cp:lastModifiedBy>
  <cp:revision>134</cp:revision>
  <cp:lastPrinted>2013-10-11T21:04:00Z</cp:lastPrinted>
  <dcterms:created xsi:type="dcterms:W3CDTF">2025-04-22T19:11:00Z</dcterms:created>
  <dcterms:modified xsi:type="dcterms:W3CDTF">2025-06-05T00:22:00Z</dcterms:modified>
  <cp:category>Type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0x010100F983192E243B06448FAEAAC77255F256</vt:lpwstr>
  </property>
  <property fmtid="{D5CDD505-2E9C-101B-9397-08002B2CF9AE}" pid="3" name="MediaServiceImageTags">
    <vt:lpwstr/>
  </property>
</Properties>
</file>